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788296"/>
          <w:sz w:val="18"/>
        </w:rPr>
        <w:t>COORDIN8 ENTERPRISE INTELLIGENCE  •  OMNICOMMERCE RETAIL - VISUAL SEARCH ENGINE  •  INITIAL DRAFT (STAGE 1)</w:t>
      </w:r>
    </w:p>
    <w:p>
      <w:pPr>
        <w:spacing w:after="40"/>
      </w:pPr>
      <w:r>
        <w:rPr>
          <w:rFonts w:ascii="Calibri" w:hAnsi="Calibri"/>
          <w:b/>
          <w:color w:val="EC4899"/>
          <w:sz w:val="48"/>
        </w:rPr>
        <w:t>OMNI-VIS System Architecture &amp; Governance Blueprint</w:t>
      </w:r>
    </w:p>
    <w:p>
      <w:pPr>
        <w:spacing w:after="280"/>
      </w:pPr>
      <w:r>
        <w:rPr>
          <w:rFonts w:ascii="Calibri" w:hAnsi="Calibri"/>
          <w:color w:val="5A6473"/>
          <w:sz w:val="26"/>
        </w:rPr>
        <w:t>Preliminary Draft Specification for OmniCommerce Brands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Client Organization</w:t>
              <w:br/>
            </w:r>
            <w:r>
              <w:rPr>
                <w:b/>
                <w:color w:val="0F172A"/>
                <w:sz w:val="20"/>
              </w:rPr>
              <w:t>OmniCommerce Brands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Document Version</w:t>
              <w:br/>
            </w:r>
            <w:r>
              <w:rPr>
                <w:b/>
                <w:color w:val="0F172A"/>
                <w:sz w:val="20"/>
              </w:rPr>
              <w:t>v0.1-draft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Delivery Stage</w:t>
              <w:br/>
            </w:r>
            <w:r>
              <w:rPr>
                <w:b/>
                <w:color w:val="0F172A"/>
                <w:sz w:val="20"/>
              </w:rPr>
              <w:t>Initial Draft (Stage 1)</w:t>
            </w:r>
          </w:p>
        </w:tc>
      </w:tr>
      <w:tr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Audited Date</w:t>
              <w:br/>
            </w:r>
            <w:r>
              <w:rPr>
                <w:b/>
                <w:color w:val="0F172A"/>
                <w:sz w:val="20"/>
              </w:rPr>
              <w:t>September 29, 2026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Classification</w:t>
              <w:br/>
            </w:r>
            <w:r>
              <w:rPr>
                <w:b/>
                <w:color w:val="0F172A"/>
                <w:sz w:val="20"/>
              </w:rPr>
              <w:t>Confidential / Commercial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20" w:line="276" w:lineRule="auto"/>
            </w:pPr>
            <w:r>
              <w:rPr>
                <w:b/>
                <w:color w:val="64748B"/>
                <w:sz w:val="16"/>
              </w:rPr>
              <w:t>Author</w:t>
              <w:br/>
            </w:r>
            <w:r>
              <w:rPr>
                <w:b/>
                <w:color w:val="0F172A"/>
                <w:sz w:val="20"/>
              </w:rPr>
              <w:t>Coordin8 Enterprise Team</w:t>
            </w:r>
          </w:p>
        </w:tc>
      </w:tr>
    </w:tbl>
    <w:p>
      <w:pPr>
        <w:spacing w:after="240"/>
      </w:pPr>
    </w:p>
    <w:p>
      <w:pPr>
        <w:keepNext/>
        <w:spacing w:before="280" w:after="80"/>
      </w:pPr>
      <w:r>
        <w:rPr>
          <w:rFonts w:ascii="Calibri" w:hAnsi="Calibri"/>
          <w:b/>
          <w:color w:val="EC4899"/>
          <w:sz w:val="30"/>
        </w:rPr>
        <w:t>1. Strategic Mission &amp; Problem Statement</w:t>
      </w:r>
    </w:p>
    <w:p>
      <w:pPr>
        <w:spacing w:after="160" w:line="276" w:lineRule="auto"/>
      </w:pPr>
      <w:r>
        <w:rPr>
          <w:rFonts w:ascii="Calibri" w:hAnsi="Calibri"/>
          <w:color w:val="334155"/>
          <w:sz w:val="21"/>
        </w:rPr>
        <w:t>Develop a multimodal vector visual search and personalized recommendation system across 4.5 million apparel SKUs. Combine ViT-H/14 visual embeddings and fine-tuned text query representations into a two-tower neural recommender to deliver sub-60ms approximate nearest neighbor (ANN) retrieval and an 18% lift in checkout conversion.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0"/>
        </w:rPr>
        <w:t>Automate manual legacy workflows with high-availability microservices.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0"/>
        </w:rPr>
        <w:t>Enforce strict regulatory compliance and audit trail traceability.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334155"/>
          <w:sz w:val="20"/>
        </w:rPr>
        <w:t>Achieve sub-second latency SLA across distributed cloud environments.</w:t>
      </w:r>
    </w:p>
    <w:p>
      <w:pPr>
        <w:keepNext/>
        <w:spacing w:before="280" w:after="80"/>
      </w:pPr>
      <w:r>
        <w:rPr>
          <w:rFonts w:ascii="Calibri" w:hAnsi="Calibri"/>
          <w:b/>
          <w:color w:val="EC4899"/>
          <w:sz w:val="30"/>
        </w:rPr>
        <w:t>2. Ingestion &amp; Invariant Requirements</w:t>
      </w:r>
    </w:p>
    <w:p>
      <w:pPr>
        <w:spacing w:after="160" w:line="276" w:lineRule="auto"/>
      </w:pPr>
      <w:r>
        <w:rPr>
          <w:rFonts w:ascii="Calibri" w:hAnsi="Calibri"/>
          <w:color w:val="334155"/>
          <w:sz w:val="21"/>
        </w:rPr>
        <w:t>System ingress pipeline specifications for real-time telemetry and structured records.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c489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340"/>
            <w:shd w:fill="ec489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Latency</w:t>
            </w:r>
          </w:p>
        </w:tc>
        <w:tc>
          <w:tcPr>
            <w:tcW w:type="dxa" w:w="2340"/>
            <w:shd w:fill="ec489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Throughput SLA</w:t>
            </w:r>
          </w:p>
        </w:tc>
        <w:tc>
          <w:tcPr>
            <w:tcW w:type="dxa" w:w="2340"/>
            <w:shd w:fill="ec489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Fault Tolerance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Edge Ingestion Gateway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&lt;80ms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10,000 req/sec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Multi-AZ Active/Active</w:t>
            </w:r>
          </w:p>
        </w:tc>
      </w:tr>
      <w:tr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Feature Extraction Engine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&lt;150ms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5,000 evt/sec</w:t>
            </w:r>
          </w:p>
        </w:tc>
        <w:tc>
          <w:tcPr>
            <w:tcW w:type="dxa" w:w="23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Automatic Retry &amp; DLQ</w:t>
            </w:r>
          </w:p>
        </w:tc>
      </w:tr>
      <w:tr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Inference Core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&lt;120ms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2,500 req/sec</w:t>
            </w:r>
          </w:p>
        </w:tc>
        <w:tc>
          <w:tcPr>
            <w:tcW w:type="dxa" w:w="23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1E293B"/>
                <w:sz w:val="19"/>
              </w:rPr>
              <w:t>Dynamic Batching (PyTorch)</w:t>
            </w:r>
          </w:p>
        </w:tc>
      </w:tr>
    </w:tbl>
    <w:p>
      <w:pPr>
        <w:spacing w:after="160"/>
      </w:pPr>
    </w:p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Client Executive Sign-off</w:t>
              <w:br/>
            </w:r>
            <w:r>
              <w:rPr>
                <w:color w:val="64748B"/>
                <w:sz w:val="17"/>
              </w:rPr>
              <w:t>OmniCommerce Brands Authorized Representative</w:t>
            </w:r>
          </w:p>
        </w:tc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Coordin8 Delivery Lead</w:t>
              <w:br/>
            </w:r>
            <w:r>
              <w:rPr>
                <w:color w:val="64748B"/>
                <w:sz w:val="17"/>
              </w:rPr>
              <w:t>Srinath Srinivasan / Principal Architect</w:t>
            </w:r>
          </w:p>
        </w:tc>
      </w:tr>
      <w:tr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Signature: __________________________</w:t>
              <w:br/>
            </w:r>
            <w:r>
              <w:rPr>
                <w:color w:val="64748B"/>
                <w:sz w:val="17"/>
              </w:rPr>
              <w:t>Status: INITIAL DRAFT (STAGE 1)</w:t>
            </w:r>
          </w:p>
        </w:tc>
        <w:tc>
          <w:tcPr>
            <w:tcW w:type="dxa" w:w="4680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Signature: __________________________</w:t>
              <w:br/>
            </w:r>
            <w:r>
              <w:rPr>
                <w:color w:val="64748B"/>
                <w:sz w:val="17"/>
              </w:rPr>
              <w:t>Date: 2026-09-29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