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Semi-Detached Factory, KIIP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DETAILS:</w:t>
        <w:br w:type="textWrapping"/>
        <w:t xml:space="preserve">- Type: KB3</w:t>
        <w:br w:type="textWrapping"/>
        <w:t xml:space="preserve">- Land size: 23,282sf</w:t>
        <w:br w:type="textWrapping"/>
        <w:t xml:space="preserve">- Built up: 15,260sf</w:t>
        <w:br w:type="textWrapping"/>
        <w:t xml:space="preserve">- Power Supply: 400amp</w:t>
        <w:br w:type="textWrapping"/>
        <w:t xml:space="preserve">- Ceiling height: 40ft</w:t>
        <w:br w:type="textWrapping"/>
        <w:t xml:space="preserve">- Floor loading: 3ton/m2</w:t>
        <w:br w:type="textWrapping"/>
        <w:br w:type="textWrapping"/>
        <w:t xml:space="preserve">Accessibility: WCE, KESAS, SKVE</w:t>
        <w:br w:type="textWrapping"/>
        <w:br w:type="textWrapping"/>
        <w:t xml:space="preserve">Rental: RM25K/mth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KP001 FOR RENT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