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Semi-Detached Factory, KIIP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- Type KK1</w:t>
        <w:br w:type="textWrapping"/>
        <w:t xml:space="preserve">- Land size: 11,529sf</w:t>
        <w:br w:type="textWrapping"/>
        <w:t xml:space="preserve"> - Built up: 8,016sf</w:t>
        <w:br w:type="textWrapping"/>
        <w:t xml:space="preserve">- Power Supply: 300amp</w:t>
        <w:br w:type="textWrapping"/>
        <w:t xml:space="preserve">- Eaves height: 40ft</w:t>
        <w:br w:type="textWrapping"/>
        <w:t xml:space="preserve">- Floor loading: 3ton/m2</w:t>
        <w:br w:type="textWrapping"/>
        <w:t xml:space="preserve">- Freehold</w:t>
        <w:br w:type="textWrapping"/>
        <w:br w:type="textWrapping"/>
        <w:t xml:space="preserve">Perfect For: Warehouse, Manufacturing, Logistics, Distribution Centre, Engineering, Storage,</w:t>
        <w:br w:type="textWrapping"/>
        <w:t xml:space="preserve"> E-Commerce</w:t>
        <w:br w:type="textWrapping"/>
        <w:br w:type="textWrapping"/>
        <w:t xml:space="preserve">Accessibility: WCE, KESAS, SKVE</w:t>
        <w:br w:type="textWrapping"/>
        <w:br w:type="textWrapping"/>
        <w:t xml:space="preserve">Rental: RM15,000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KP005 FOR RENT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44215" cy="4367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436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