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 Storey Detached Factory, Jalan Timah,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55,000sf / 1.26acre</w:t>
        <w:br w:type="textWrapping"/>
        <w:t xml:space="preserve">- Built up: 37,640sf</w:t>
        <w:br w:type="textWrapping"/>
        <w:t xml:space="preserve">- Warehouse: 27,200sf / 160 x 170</w:t>
        <w:br w:type="textWrapping"/>
        <w:t xml:space="preserve">- Power Supply: 400amp</w:t>
        <w:br w:type="textWrapping"/>
        <w:t xml:space="preserve">- Ceiling height: 40ft</w:t>
        <w:br w:type="textWrapping"/>
        <w:t xml:space="preserve">- Floor loading: 3ton/m2</w:t>
        <w:br w:type="textWrapping"/>
        <w:t xml:space="preserve">- Passenger lift</w:t>
        <w:br w:type="textWrapping"/>
        <w:br w:type="textWrapping"/>
        <w:t xml:space="preserve">Accessibility: WCE, KESAS, SKVE</w:t>
        <w:br w:type="textWrapping"/>
        <w:br w:type="textWrapping"/>
        <w:t xml:space="preserve">Rental: RM68K</w:t>
        <w:br w:type="textWrapping"/>
        <w:t xml:space="preserve">Sale: RM18.5Mil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KP009 FOR RENT / SALE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