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 Storey Semi-D Factory, Jalan Timah,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32,495sf / 0.74 acre</w:t>
        <w:br w:type="textWrapping"/>
        <w:t xml:space="preserve">- Built up: 23,000sf</w:t>
        <w:br w:type="textWrapping"/>
        <w:t xml:space="preserve">- Factory: 17,000sf</w:t>
        <w:br w:type="textWrapping"/>
        <w:t xml:space="preserve"> - Power Supply: 400amp</w:t>
        <w:br w:type="textWrapping"/>
        <w:t xml:space="preserve">- Ceiling height: 39ft</w:t>
        <w:br w:type="textWrapping"/>
        <w:t xml:space="preserve">- Floor loading: 3ton/m2</w:t>
        <w:br w:type="textWrapping"/>
        <w:br w:type="textWrapping"/>
        <w:t xml:space="preserve">Accessibility: WCE, KESAS, SKVE</w:t>
        <w:br w:type="textWrapping"/>
        <w:br w:type="textWrapping"/>
        <w:t xml:space="preserve">Rental: RM41,400</w:t>
        <w:br w:type="textWrapping"/>
        <w:t xml:space="preserve">Sale: RM10.35Mil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KP011 FOR RENT / SALE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