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r>
        <w:t>SWR01: The patch shall sample ECG at 250 samples per second with 12 bit resolution.</w:t>
      </w:r>
    </w:p>
    <w:p>
      <w:r>
        <w:t>SWR02: The patch shall store at least 24 hours of ECG data locally.</w:t>
      </w:r>
    </w:p>
    <w:p>
      <w:r>
        <w:t>SWR03: The mobile application shall encrypt all stored ECG data using AES 256.</w:t>
      </w:r>
    </w:p>
    <w:p>
      <w:r>
        <w:t>SWR04: The system shall transmit data using TLS 1.2 or higher.</w:t>
      </w:r>
    </w:p>
    <w:p>
      <w:r>
        <w:t>SWR05: The portal shall display ECG waveform with time synchronization.</w:t>
      </w:r>
    </w:p>
    <w:p>
      <w:r>
        <w:t>SWR06: The system shall maintain an audit log of user actions.</w:t>
      </w:r>
    </w:p>
    <w:p>
      <w:r>
        <w:t>SWR07: The system shall authenticate users with unique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