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Biocompatibility Rationale – Non Sterile Skin Contact</w:t>
      </w:r>
    </w:p>
    <w:p>
      <w:r>
        <w:t>Contact type: skin, greater than 24 hours and less than 30 days.</w:t>
      </w:r>
    </w:p>
    <w:p>
      <w:r>
        <w:t>Endpoints: cytotoxicity, sensitization, irritation per ISO 10993-1.</w:t>
      </w:r>
    </w:p>
    <w:p>
      <w:r>
        <w:t>Conclusion: materials suitable for intended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