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4E79"/>
          <w:sz w:val="34"/>
          <w:szCs w:val="34"/>
        </w:rPr>
        <w:t xml:space="preserve">Analyzing Sales Trends, Revenue Decline and Customer Payment Behaviour for a Multi-Channel Mobile Retail Business</w:t>
      </w:r>
    </w:p>
    <w:p>
      <w:pPr>
        <w:spacing w:before="400"/>
        <w:jc w:val="center"/>
      </w:pPr>
      <w:r>
        <w:rPr>
          <w:b/>
          <w:bCs/>
          <w:sz w:val="26"/>
          <w:szCs w:val="26"/>
        </w:rPr>
        <w:t xml:space="preserve">Final Report — BDM Capstone Project (Analysis with Secondary Data)</w:t>
      </w:r>
    </w:p>
    <w:p>
      <w:pPr>
        <w:spacing w:before="800"/>
        <w:jc w:val="center"/>
      </w:pPr>
      <w:r>
        <w:rPr>
          <w:sz w:val="24"/>
          <w:szCs w:val="24"/>
        </w:rPr>
        <w:t xml:space="preserve">Submitted by</w:t>
      </w:r>
    </w:p>
    <w:p>
      <w:pPr>
        <w:jc w:val="center"/>
      </w:pPr>
      <w:r>
        <w:rPr>
          <w:b/>
          <w:bCs/>
          <w:sz w:val="24"/>
          <w:szCs w:val="24"/>
        </w:rPr>
        <w:t xml:space="preserve">Name: Aman Chawla</w:t>
      </w:r>
    </w:p>
    <w:p>
      <w:pPr>
        <w:jc w:val="center"/>
      </w:pPr>
      <w:r>
        <w:rPr>
          <w:b/>
          <w:bCs/>
          <w:sz w:val="24"/>
          <w:szCs w:val="24"/>
        </w:rPr>
        <w:t xml:space="preserve">Roll Number: 23F3001753</w:t>
      </w:r>
    </w:p>
    <w:p>
      <w:pPr>
        <w:spacing w:before="1200"/>
        <w:jc w:val="center"/>
      </w:pPr>
      <w:r>
        <w:rPr>
          <w:sz w:val="22"/>
          <w:szCs w:val="22"/>
        </w:rPr>
        <w:t xml:space="preserve">IITM Online BS Degree Program</w:t>
      </w:r>
    </w:p>
    <w:p>
      <w:pPr>
        <w:jc w:val="center"/>
      </w:pPr>
      <w:r>
        <w:rPr>
          <w:sz w:val="22"/>
          <w:szCs w:val="22"/>
        </w:rPr>
        <w:t xml:space="preserve">Indian Institute of Technology, Madras, Chennai</w:t>
      </w:r>
    </w:p>
    <w:p>
      <w:pPr>
        <w:jc w:val="center"/>
      </w:pPr>
      <w:r>
        <w:rPr>
          <w:sz w:val="22"/>
          <w:szCs w:val="22"/>
        </w:rPr>
        <w:t xml:space="preserve">Tamil Nadu, India, 600036</w:t>
      </w:r>
    </w:p>
    <w:p>
      <w:r>
        <w:br w:type="page"/>
      </w:r>
    </w:p>
    <w:p>
      <w:pPr>
        <w:pStyle w:val="Heading1"/>
      </w:pPr>
      <w:r>
        <w:t xml:space="preserve">Declaration Statement</w:t>
      </w:r>
    </w:p>
    <w:p>
      <w:pPr>
        <w:spacing w:after="160"/>
      </w:pPr>
      <w:r>
        <w:t xml:space="preserve">I am working on a project titled "Analyzing Sales Trends, Revenue Decline and Customer Payment Behaviour for a Multi-Channel Mobile Retail Business". This project uses a secondary (publicly available) dataset — the "Mobile Sales Dataset" sourced from Kaggle — as permitted under the BDM Capstone Project (Analysis with Secondary Data) pathway.</w:t>
      </w:r>
    </w:p>
    <w:p>
      <w:pPr>
        <w:spacing w:after="160"/>
      </w:pPr>
      <w:r>
        <w:t xml:space="preserve">I hereby assert that the data used in this project has been obtained, without any alteration to its original content, from the public repository cited in this report, and has been processed, cleaned and analysed independently and to the best of my knowledge and capability. I have not replicated the analysis, figures, results, or conclusions of any other person's work on this or a similar dataset; the business problem identification, data cleaning approach, analysis and insights presented in this report are entirely my own.</w:t>
      </w:r>
    </w:p>
    <w:p>
      <w:pPr>
        <w:spacing w:after="160"/>
      </w:pPr>
      <w:r>
        <w:t xml:space="preserve">I affirm that all procedures employed for the purpose of data collection, cleaning and analysis have been duly explained in this report, and that the outcomes and inferences derived from the data are an accurate depiction of the findings acquired through thorough analytical procedures.</w:t>
      </w:r>
    </w:p>
    <w:p>
      <w:pPr>
        <w:spacing w:after="160"/>
      </w:pPr>
      <w:r>
        <w:t xml:space="preserve">I am dedicated to adhering to the principles of academic honesty and integrity, and I am receptive to any additional examination or validation of the data and analysis contained in this project report.</w:t>
      </w:r>
    </w:p>
    <w:p>
      <w:pPr>
        <w:spacing w:after="160"/>
      </w:pPr>
      <w:r>
        <w:t xml:space="preserve">I understand that the execution of this project is intended for individual completion and is not to be undertaken collectively. I affirm that I am not engaged in any form of collaboration with other individuals, and that all work undertaken has been solely conducted by me. In the event that plagiarism is detected in the report at any stage of the project's completion, I am fully aware and prepared to accept disciplinary measures imposed by the relevant authority.</w:t>
      </w:r>
    </w:p>
    <w:p>
      <w:pPr>
        <w:spacing w:after="160"/>
      </w:pPr>
      <w:r>
        <w:t xml:space="preserve">I agree that all recommendations made are specific to the scope of this project and cannot be utilized for any other purpose with an IIT Madras tag. I understand that IIT Madras does not endorse this.</w:t>
      </w:r>
    </w:p>
    <w:p>
      <w:pPr>
        <w:spacing w:before="300"/>
      </w:pPr>
      <w:r>
        <w:rPr>
          <w:b/>
          <w:bCs/>
        </w:rPr>
        <w:t xml:space="preserve">Signature of Candidate: Aman Chawla</w:t>
      </w:r>
    </w:p>
    <w:p>
      <w:r>
        <w:t xml:space="preserve">Name: Aman Chawla</w:t>
      </w:r>
    </w:p>
    <w:p>
      <w:r>
        <w:t xml:space="preserve">Date: 3 August 2026</w:t>
      </w:r>
    </w:p>
    <w:p>
      <w:r>
        <w:br w:type="page"/>
      </w:r>
    </w:p>
    <w:p>
      <w:pPr>
        <w:pStyle w:val="Heading1"/>
        <w:spacing w:after="200" w:before="400"/>
      </w:pPr>
      <w:r>
        <w:t xml:space="preserve">Table of Contents</w:t>
      </w:r>
    </w:p>
    <w:p>
      <w:pPr>
        <w:tabs>
          <w:tab w:val="right" w:pos="9026" w:leader="dot"/>
        </w:tabs>
        <w:spacing w:after="140"/>
      </w:pPr>
      <w:r>
        <w:t xml:space="preserve">1. Executive Summary</w:t>
      </w:r>
      <w:r>
        <w:t xml:space="preserve">	4</w:t>
      </w:r>
    </w:p>
    <w:p>
      <w:pPr>
        <w:tabs>
          <w:tab w:val="right" w:pos="9026" w:leader="dot"/>
        </w:tabs>
        <w:spacing w:after="140"/>
      </w:pPr>
      <w:r>
        <w:t xml:space="preserve">2. Proof of Originality — Data Source Details</w:t>
      </w:r>
      <w:r>
        <w:t xml:space="preserve">	4</w:t>
      </w:r>
    </w:p>
    <w:p>
      <w:pPr>
        <w:tabs>
          <w:tab w:val="right" w:pos="9026" w:leader="dot"/>
        </w:tabs>
        <w:spacing w:after="140"/>
      </w:pPr>
      <w:r>
        <w:t xml:space="preserve">3. Metadata and Descriptive Statistics</w:t>
      </w:r>
      <w:r>
        <w:t xml:space="preserve">	4</w:t>
      </w:r>
    </w:p>
    <w:p>
      <w:pPr>
        <w:tabs>
          <w:tab w:val="right" w:pos="9026" w:leader="dot"/>
        </w:tabs>
        <w:spacing w:after="140"/>
      </w:pPr>
      <w:r>
        <w:t xml:space="preserve">4. Data Cleaning, Validation and Analysis Methodology</w:t>
      </w:r>
      <w:r>
        <w:t xml:space="preserve">	7</w:t>
      </w:r>
    </w:p>
    <w:p>
      <w:pPr>
        <w:tabs>
          <w:tab w:val="right" w:pos="9026" w:leader="dot"/>
        </w:tabs>
        <w:spacing w:after="140"/>
      </w:pPr>
      <w:r>
        <w:t xml:space="preserve">5. Results and Findings</w:t>
      </w:r>
      <w:r>
        <w:t xml:space="preserve">	8</w:t>
      </w:r>
    </w:p>
    <w:p>
      <w:pPr>
        <w:tabs>
          <w:tab w:val="right" w:pos="9026" w:leader="dot"/>
        </w:tabs>
        <w:spacing w:after="140"/>
      </w:pPr>
      <w:r>
        <w:t xml:space="preserve">6. Interpretation of Results and Recommendations</w:t>
      </w:r>
      <w:r>
        <w:t xml:space="preserve">	14</w:t>
      </w:r>
    </w:p>
    <w:p>
      <w:pPr>
        <w:tabs>
          <w:tab w:val="right" w:pos="9026" w:leader="dot"/>
        </w:tabs>
        <w:spacing w:after="140"/>
      </w:pPr>
      <w:r>
        <w:t xml:space="preserve">7. Limitations of the Study</w:t>
      </w:r>
      <w:r>
        <w:t xml:space="preserve">	16</w:t>
      </w:r>
    </w:p>
    <w:p>
      <w:pPr>
        <w:tabs>
          <w:tab w:val="right" w:pos="9026" w:leader="dot"/>
        </w:tabs>
        <w:spacing w:after="140"/>
      </w:pPr>
      <w:r>
        <w:t xml:space="preserve">8. Conclusion</w:t>
      </w:r>
      <w:r>
        <w:t xml:space="preserve">	16</w:t>
      </w:r>
    </w:p>
    <w:p>
      <w:pPr>
        <w:tabs>
          <w:tab w:val="right" w:pos="9026" w:leader="dot"/>
        </w:tabs>
        <w:spacing w:after="140"/>
      </w:pPr>
      <w:r>
        <w:t xml:space="preserve">9. References / Data Source</w:t>
      </w:r>
      <w:r>
        <w:t xml:space="preserve">	16</w:t>
      </w:r>
    </w:p>
    <w:p>
      <w:pPr>
        <w:tabs>
          <w:tab w:val="right" w:pos="9026" w:leader="dot"/>
        </w:tabs>
        <w:spacing w:after="140"/>
      </w:pPr>
      <w:r>
        <w:t xml:space="preserve">Appendix A: Sample of the Cleaned Dataset</w:t>
      </w:r>
      <w:r>
        <w:t xml:space="preserve">	16</w:t>
      </w:r>
    </w:p>
    <w:p>
      <w:pPr>
        <w:tabs>
          <w:tab w:val="right" w:pos="9026" w:leader="dot"/>
        </w:tabs>
        <w:spacing w:after="140"/>
      </w:pPr>
      <w:r>
        <w:t xml:space="preserve">Appendix B: Statistical Formulae and Definitions Used</w:t>
      </w:r>
      <w:r>
        <w:t xml:space="preserve">	17</w:t>
      </w:r>
    </w:p>
    <w:p>
      <w:pPr>
        <w:tabs>
          <w:tab w:val="right" w:pos="9026" w:leader="dot"/>
        </w:tabs>
        <w:spacing w:after="140"/>
      </w:pPr>
      <w:r>
        <w:t xml:space="preserve">Appendix C: Reproducibility and Viva Preparedness</w:t>
      </w:r>
      <w:r>
        <w:t xml:space="preserve">	18</w:t>
      </w:r>
    </w:p>
    <w:p>
      <w:r>
        <w:br w:type="page"/>
      </w:r>
    </w:p>
    <w:p>
      <w:pPr>
        <w:pStyle w:val="Heading1"/>
        <w:spacing w:after="200" w:before="400"/>
      </w:pPr>
      <w:r>
        <w:t xml:space="preserve">1. Executive Summary</w:t>
      </w:r>
    </w:p>
    <w:p>
      <w:pPr>
        <w:spacing w:after="160"/>
      </w:pPr>
      <w:r>
        <w:t xml:space="preserve">This report analyses a multi-channel mobile phone retail business using a 1,000-row secondary dataset (the "Mobile Sales Dataset", Kaggle) covering January-July 2024. The business sells through four payment channels — Online, Credit Card, Debit Card, and Cash — with each transaction recording device price, units sold, revenue, customer age and gender, and payment channel.</w:t>
      </w:r>
    </w:p>
    <w:p>
      <w:pPr>
        <w:spacing w:after="160"/>
      </w:pPr>
      <w:r>
        <w:t xml:space="preserve">Monthly revenue fell from about ₹62.6 lakh in January 2024 to ₹50.5 lakh in July, a decline of roughly 19%. However, July contains only 25 days of transactions versus a full month elsewhere, so part of this drop reflects incomplete data coverage rather than a genuine fall in demand.</w:t>
      </w:r>
    </w:p>
    <w:p>
      <w:pPr>
        <w:spacing w:after="160"/>
      </w:pPr>
      <w:r>
        <w:t xml:space="preserve">All four payment channels earn a similar revenue share (22-28%), but Debit Card fell the most (about 36%) while Cash grew slightly (about 4%), showing the decline is channel-concentrated rather than uniform. Customers aged 38-57 generate about 47% of revenue, while gender makes almost no difference. Price and units sold show no correlation with revenue, and a data-quality check found TotalRevenue is not derived from Price × UnitsSold, documented as a limitation of this synthetic dataset.</w:t>
      </w:r>
    </w:p>
    <w:p>
      <w:pPr>
        <w:spacing w:after="160"/>
      </w:pPr>
      <w:r>
        <w:t xml:space="preserve">The report recommends correcting for the partial July month before treating the fall as a genuine trend, prioritising retention efforts on Debit Card customers given the channel's steep decline, and directing marketing spend toward the 38-57 age segment, the largest and most consistent revenue contributor.</w:t>
      </w:r>
    </w:p>
    <w:p>
      <w:pPr>
        <w:pStyle w:val="Heading1"/>
        <w:spacing w:after="200" w:before="400"/>
      </w:pPr>
      <w:r>
        <w:t xml:space="preserve">2. Proof of Originality — Data Source Details</w:t>
      </w:r>
    </w:p>
    <w:p>
      <w:pPr>
        <w:pStyle w:val="ListParagraph"/>
        <w:numPr>
          <w:ilvl w:val="0"/>
          <w:numId w:val="2"/>
        </w:numPr>
        <w:spacing w:after="80"/>
      </w:pPr>
      <w:r>
        <w:t xml:space="preserve">Dataset name: Mobile Sales Dataset</w:t>
      </w:r>
    </w:p>
    <w:p>
      <w:pPr>
        <w:pStyle w:val="ListParagraph"/>
        <w:numPr>
          <w:ilvl w:val="0"/>
          <w:numId w:val="2"/>
        </w:numPr>
        <w:spacing w:after="80"/>
      </w:pPr>
      <w:r>
        <w:t xml:space="preserve">Repository / platform: Kaggle (www.kaggle.com)</w:t>
      </w:r>
    </w:p>
    <w:p>
      <w:pPr>
        <w:pStyle w:val="ListParagraph"/>
        <w:numPr>
          <w:ilvl w:val="0"/>
          <w:numId w:val="2"/>
        </w:numPr>
        <w:spacing w:after="80"/>
      </w:pPr>
      <w:r>
        <w:t xml:space="preserve">File used: mobile_sales.csv (1,000 rows, 11 columns)</w:t>
      </w:r>
    </w:p>
    <w:p>
      <w:pPr>
        <w:pStyle w:val="ListParagraph"/>
        <w:numPr>
          <w:ilvl w:val="0"/>
          <w:numId w:val="2"/>
        </w:numPr>
        <w:spacing w:after="80"/>
      </w:pPr>
      <w:r>
        <w:t xml:space="preserve">Nature of data: Synthetically generated transaction-level retail sales data, released for analytical/educational practice</w:t>
      </w:r>
    </w:p>
    <w:p>
      <w:pPr>
        <w:pStyle w:val="ListParagraph"/>
        <w:numPr>
          <w:ilvl w:val="0"/>
          <w:numId w:val="2"/>
        </w:numPr>
        <w:spacing w:after="80"/>
      </w:pPr>
      <w:r>
        <w:t xml:space="preserve">Period covered: 1 January 2024 – 25 July 2024</w:t>
      </w:r>
    </w:p>
    <w:p>
      <w:pPr>
        <w:pStyle w:val="ListParagraph"/>
        <w:numPr>
          <w:ilvl w:val="0"/>
          <w:numId w:val="2"/>
        </w:numPr>
        <w:spacing w:after="80"/>
      </w:pPr>
      <w:r>
        <w:t xml:space="preserve">Access: Publicly downloadable without restriction, as permitted for the Secondary Data pathway</w:t>
      </w:r>
    </w:p>
    <w:p>
      <w:pPr>
        <w:spacing w:after="120"/>
      </w:pPr>
      <w:r>
        <w:rPr>
          <w:b/>
          <w:bCs/>
        </w:rPr>
        <w:t xml:space="preserve">Dataset link: </w:t>
      </w:r>
      <w:hyperlink w:history="1" r:id="rIdn0b_0ino68rvzwp07rp4f">
        <w:r>
          <w:rPr>
            <w:rStyle w:val="Hyperlink"/>
            <w:color w:val="2E75B6"/>
            <w:u w:val="single"/>
          </w:rPr>
          <w:t xml:space="preserve">https://drive.google.com/file/d/1Cf0fDskCQV7w9PBsWvjBZLEZ2PKctZ9i/view?usp=sharing</w:t>
        </w:r>
      </w:hyperlink>
    </w:p>
    <w:p>
      <w:pPr>
        <w:spacing w:after="120"/>
      </w:pPr>
      <w:r>
        <w:rPr>
          <w:b/>
          <w:bCs/>
        </w:rPr>
        <w:t xml:space="preserve">Analysis notebook link: </w:t>
      </w:r>
      <w:hyperlink w:history="1" r:id="rIdf600hpb6ulxa798lp7ix9">
        <w:r>
          <w:rPr>
            <w:rStyle w:val="Hyperlink"/>
            <w:color w:val="2E75B6"/>
            <w:u w:val="single"/>
          </w:rPr>
          <w:t xml:space="preserve">https://colab.research.google.com/drive/1oWJ5ck7EUiSoz0uWFPoqHVT1zkcWRMRN?usp=sharing</w:t>
        </w:r>
      </w:hyperlink>
    </w:p>
    <w:p>
      <w:pPr>
        <w:spacing w:after="160"/>
      </w:pPr>
      <w:r>
        <w:t xml:space="preserve">No modification has been made to the original values in the raw file. All cleaning steps performed (type conversion, missing-value and duplicate checks, outlier screening) are documented in Section 4 and are fully reproducible from the analysis notebook linked above (BDM_Capstone_Analysis_23F3001753.ipynb), submitted alongside this report. The business-problem framing, data cleaning approach, analysis, charts, and recommendations in this report are original work carried out independently for this project and do not replicate any previously published analysis of this dataset.</w:t>
      </w:r>
    </w:p>
    <w:p>
      <w:pPr>
        <w:pStyle w:val="Heading1"/>
        <w:spacing w:after="200" w:before="400"/>
      </w:pPr>
      <w:r>
        <w:t xml:space="preserve">3. Metadata and Descriptive Statistics</w:t>
      </w:r>
    </w:p>
    <w:p>
      <w:pPr>
        <w:pStyle w:val="Heading2"/>
        <w:spacing w:after="140" w:before="280"/>
      </w:pPr>
      <w:r>
        <w:t xml:space="preserve">3.1 Metadata</w:t>
      </w:r>
    </w:p>
    <w:tbl>
      <w:tblPr>
        <w:tblW w:type="dxa" w:w="9600"/>
        <w:tblBorders>
          <w:top w:val="single" w:color="B7C6D9" w:sz="4"/>
          <w:left w:val="single" w:color="B7C6D9" w:sz="4"/>
          <w:bottom w:val="single" w:color="B7C6D9" w:sz="4"/>
          <w:right w:val="single" w:color="B7C6D9" w:sz="4"/>
          <w:insideH w:val="single" w:color="D6E0EA" w:sz="2"/>
          <w:insideV w:val="single" w:color="D6E0EA" w:sz="2"/>
        </w:tblBorders>
      </w:tblPr>
      <w:tblGrid>
        <w:gridCol w:w="2400"/>
        <w:gridCol w:w="1600"/>
        <w:gridCol w:w="5600"/>
      </w:tblGrid>
      <w:tr>
        <w:trPr>
          <w:tblHeader/>
        </w:trPr>
        <w:tc>
          <w:tcPr>
            <w:tcW w:type="dxa" w:w="2400"/>
            <w:shd w:fill="1F4E79" w:val="clear"/>
            <w:tcMar>
              <w:top w:type="dxa" w:w="80"/>
              <w:left w:type="dxa" w:w="100"/>
              <w:bottom w:type="dxa" w:w="80"/>
              <w:right w:type="dxa" w:w="100"/>
            </w:tcMar>
          </w:tcPr>
          <w:p>
            <w:pPr>
              <w:jc w:val="center"/>
            </w:pPr>
            <w:r>
              <w:rPr>
                <w:b/>
                <w:bCs/>
                <w:color w:val="FFFFFF"/>
              </w:rPr>
              <w:t xml:space="preserve">Column</w:t>
            </w:r>
          </w:p>
        </w:tc>
        <w:tc>
          <w:tcPr>
            <w:tcW w:type="dxa" w:w="1600"/>
            <w:shd w:fill="1F4E79" w:val="clear"/>
            <w:tcMar>
              <w:top w:type="dxa" w:w="80"/>
              <w:left w:type="dxa" w:w="100"/>
              <w:bottom w:type="dxa" w:w="80"/>
              <w:right w:type="dxa" w:w="100"/>
            </w:tcMar>
          </w:tcPr>
          <w:p>
            <w:pPr>
              <w:jc w:val="center"/>
            </w:pPr>
            <w:r>
              <w:rPr>
                <w:b/>
                <w:bCs/>
                <w:color w:val="FFFFFF"/>
              </w:rPr>
              <w:t xml:space="preserve">Type</w:t>
            </w:r>
          </w:p>
        </w:tc>
        <w:tc>
          <w:tcPr>
            <w:tcW w:type="dxa" w:w="5600"/>
            <w:shd w:fill="1F4E79" w:val="clear"/>
            <w:tcMar>
              <w:top w:type="dxa" w:w="80"/>
              <w:left w:type="dxa" w:w="100"/>
              <w:bottom w:type="dxa" w:w="80"/>
              <w:right w:type="dxa" w:w="100"/>
            </w:tcMar>
          </w:tcPr>
          <w:p>
            <w:pPr>
              <w:jc w:val="center"/>
            </w:pPr>
            <w:r>
              <w:rPr>
                <w:b/>
                <w:bCs/>
                <w:color w:val="FFFFFF"/>
              </w:rPr>
              <w:t xml:space="preserve">Description</w:t>
            </w:r>
          </w:p>
        </w:tc>
      </w:tr>
      <w:tr>
        <w:tc>
          <w:tcPr>
            <w:tcW w:type="dxa" w:w="2400"/>
            <w:shd w:fill="F2F6FA" w:val="clear"/>
            <w:tcMar>
              <w:top w:type="dxa" w:w="80"/>
              <w:left w:type="dxa" w:w="100"/>
              <w:bottom w:type="dxa" w:w="80"/>
              <w:right w:type="dxa" w:w="100"/>
            </w:tcMar>
          </w:tcPr>
          <w:p>
            <w:pPr>
              <w:jc w:val="left"/>
            </w:pPr>
            <w:r>
              <w:rPr>
                <w:b w:val="false"/>
                <w:bCs w:val="false"/>
                <w:color w:val="000000"/>
              </w:rPr>
              <w:t xml:space="preserve">TransactionID</w:t>
            </w:r>
          </w:p>
        </w:tc>
        <w:tc>
          <w:tcPr>
            <w:tcW w:type="dxa" w:w="1600"/>
            <w:shd w:fill="F2F6FA" w:val="clear"/>
            <w:tcMar>
              <w:top w:type="dxa" w:w="80"/>
              <w:left w:type="dxa" w:w="100"/>
              <w:bottom w:type="dxa" w:w="80"/>
              <w:right w:type="dxa" w:w="100"/>
            </w:tcMar>
          </w:tcPr>
          <w:p>
            <w:pPr>
              <w:jc w:val="center"/>
            </w:pPr>
            <w:r>
              <w:rPr>
                <w:b w:val="false"/>
                <w:bCs w:val="false"/>
                <w:color w:val="000000"/>
              </w:rPr>
              <w:t xml:space="preserve">Text (unique)</w:t>
            </w:r>
          </w:p>
        </w:tc>
        <w:tc>
          <w:tcPr>
            <w:tcW w:type="dxa" w:w="5600"/>
            <w:shd w:fill="F2F6FA" w:val="clear"/>
            <w:tcMar>
              <w:top w:type="dxa" w:w="80"/>
              <w:left w:type="dxa" w:w="100"/>
              <w:bottom w:type="dxa" w:w="80"/>
              <w:right w:type="dxa" w:w="100"/>
            </w:tcMar>
          </w:tcPr>
          <w:p>
            <w:pPr>
              <w:jc w:val="center"/>
            </w:pPr>
            <w:r>
              <w:rPr>
                <w:b w:val="false"/>
                <w:bCs w:val="false"/>
                <w:color w:val="000000"/>
              </w:rPr>
              <w:t xml:space="preserve">Unique identifier for each transaction</w:t>
            </w:r>
          </w:p>
        </w:tc>
      </w:tr>
      <w:tr>
        <w:tc>
          <w:tcPr>
            <w:tcW w:type="dxa" w:w="2400"/>
            <w:shd w:fill="FFFFFF" w:val="clear"/>
            <w:tcMar>
              <w:top w:type="dxa" w:w="80"/>
              <w:left w:type="dxa" w:w="100"/>
              <w:bottom w:type="dxa" w:w="80"/>
              <w:right w:type="dxa" w:w="100"/>
            </w:tcMar>
          </w:tcPr>
          <w:p>
            <w:pPr>
              <w:jc w:val="left"/>
            </w:pPr>
            <w:r>
              <w:rPr>
                <w:b w:val="false"/>
                <w:bCs w:val="false"/>
                <w:color w:val="000000"/>
              </w:rPr>
              <w:t xml:space="preserve">Date</w:t>
            </w:r>
          </w:p>
        </w:tc>
        <w:tc>
          <w:tcPr>
            <w:tcW w:type="dxa" w:w="1600"/>
            <w:shd w:fill="FFFFFF" w:val="clear"/>
            <w:tcMar>
              <w:top w:type="dxa" w:w="80"/>
              <w:left w:type="dxa" w:w="100"/>
              <w:bottom w:type="dxa" w:w="80"/>
              <w:right w:type="dxa" w:w="100"/>
            </w:tcMar>
          </w:tcPr>
          <w:p>
            <w:pPr>
              <w:jc w:val="center"/>
            </w:pPr>
            <w:r>
              <w:rPr>
                <w:b w:val="false"/>
                <w:bCs w:val="false"/>
                <w:color w:val="000000"/>
              </w:rPr>
              <w:t xml:space="preserve">Date</w:t>
            </w:r>
          </w:p>
        </w:tc>
        <w:tc>
          <w:tcPr>
            <w:tcW w:type="dxa" w:w="5600"/>
            <w:shd w:fill="FFFFFF" w:val="clear"/>
            <w:tcMar>
              <w:top w:type="dxa" w:w="80"/>
              <w:left w:type="dxa" w:w="100"/>
              <w:bottom w:type="dxa" w:w="80"/>
              <w:right w:type="dxa" w:w="100"/>
            </w:tcMar>
          </w:tcPr>
          <w:p>
            <w:pPr>
              <w:jc w:val="center"/>
            </w:pPr>
            <w:r>
              <w:rPr>
                <w:b w:val="false"/>
                <w:bCs w:val="false"/>
                <w:color w:val="000000"/>
              </w:rPr>
              <w:t xml:space="preserve">Transaction date (1 Jan – 25 Jul 2024)</w:t>
            </w:r>
          </w:p>
        </w:tc>
      </w:tr>
      <w:tr>
        <w:tc>
          <w:tcPr>
            <w:tcW w:type="dxa" w:w="2400"/>
            <w:shd w:fill="F2F6FA" w:val="clear"/>
            <w:tcMar>
              <w:top w:type="dxa" w:w="80"/>
              <w:left w:type="dxa" w:w="100"/>
              <w:bottom w:type="dxa" w:w="80"/>
              <w:right w:type="dxa" w:w="100"/>
            </w:tcMar>
          </w:tcPr>
          <w:p>
            <w:pPr>
              <w:jc w:val="left"/>
            </w:pPr>
            <w:r>
              <w:rPr>
                <w:b w:val="false"/>
                <w:bCs w:val="false"/>
                <w:color w:val="000000"/>
              </w:rPr>
              <w:t xml:space="preserve">MobileModel</w:t>
            </w:r>
          </w:p>
        </w:tc>
        <w:tc>
          <w:tcPr>
            <w:tcW w:type="dxa" w:w="1600"/>
            <w:shd w:fill="F2F6FA" w:val="clear"/>
            <w:tcMar>
              <w:top w:type="dxa" w:w="80"/>
              <w:left w:type="dxa" w:w="100"/>
              <w:bottom w:type="dxa" w:w="80"/>
              <w:right w:type="dxa" w:w="100"/>
            </w:tcMar>
          </w:tcPr>
          <w:p>
            <w:pPr>
              <w:jc w:val="center"/>
            </w:pPr>
            <w:r>
              <w:rPr>
                <w:b w:val="false"/>
                <w:bCs w:val="false"/>
                <w:color w:val="000000"/>
              </w:rPr>
              <w:t xml:space="preserve">Text</w:t>
            </w:r>
          </w:p>
        </w:tc>
        <w:tc>
          <w:tcPr>
            <w:tcW w:type="dxa" w:w="5600"/>
            <w:shd w:fill="F2F6FA" w:val="clear"/>
            <w:tcMar>
              <w:top w:type="dxa" w:w="80"/>
              <w:left w:type="dxa" w:w="100"/>
              <w:bottom w:type="dxa" w:w="80"/>
              <w:right w:type="dxa" w:w="100"/>
            </w:tcMar>
          </w:tcPr>
          <w:p>
            <w:pPr>
              <w:jc w:val="center"/>
            </w:pPr>
            <w:r>
              <w:rPr>
                <w:b w:val="false"/>
                <w:bCs w:val="false"/>
                <w:color w:val="000000"/>
              </w:rPr>
              <w:t xml:space="preserve">Device model tag (synthetic placeholder text — see 3.4)</w:t>
            </w:r>
          </w:p>
        </w:tc>
      </w:tr>
      <w:tr>
        <w:tc>
          <w:tcPr>
            <w:tcW w:type="dxa" w:w="2400"/>
            <w:shd w:fill="FFFFFF" w:val="clear"/>
            <w:tcMar>
              <w:top w:type="dxa" w:w="80"/>
              <w:left w:type="dxa" w:w="100"/>
              <w:bottom w:type="dxa" w:w="80"/>
              <w:right w:type="dxa" w:w="100"/>
            </w:tcMar>
          </w:tcPr>
          <w:p>
            <w:pPr>
              <w:jc w:val="left"/>
            </w:pPr>
            <w:r>
              <w:rPr>
                <w:b w:val="false"/>
                <w:bCs w:val="false"/>
                <w:color w:val="000000"/>
              </w:rPr>
              <w:t xml:space="preserve">Brand</w:t>
            </w:r>
          </w:p>
        </w:tc>
        <w:tc>
          <w:tcPr>
            <w:tcW w:type="dxa" w:w="1600"/>
            <w:shd w:fill="FFFFFF" w:val="clear"/>
            <w:tcMar>
              <w:top w:type="dxa" w:w="80"/>
              <w:left w:type="dxa" w:w="100"/>
              <w:bottom w:type="dxa" w:w="80"/>
              <w:right w:type="dxa" w:w="100"/>
            </w:tcMar>
          </w:tcPr>
          <w:p>
            <w:pPr>
              <w:jc w:val="center"/>
            </w:pPr>
            <w:r>
              <w:rPr>
                <w:b w:val="false"/>
                <w:bCs w:val="false"/>
                <w:color w:val="000000"/>
              </w:rPr>
              <w:t xml:space="preserve">Text</w:t>
            </w:r>
          </w:p>
        </w:tc>
        <w:tc>
          <w:tcPr>
            <w:tcW w:type="dxa" w:w="5600"/>
            <w:shd w:fill="FFFFFF" w:val="clear"/>
            <w:tcMar>
              <w:top w:type="dxa" w:w="80"/>
              <w:left w:type="dxa" w:w="100"/>
              <w:bottom w:type="dxa" w:w="80"/>
              <w:right w:type="dxa" w:w="100"/>
            </w:tcMar>
          </w:tcPr>
          <w:p>
            <w:pPr>
              <w:jc w:val="center"/>
            </w:pPr>
            <w:r>
              <w:rPr>
                <w:b w:val="false"/>
                <w:bCs w:val="false"/>
                <w:color w:val="000000"/>
              </w:rPr>
              <w:t xml:space="preserve">Brand name (synthetic placeholder text — see 3.4)</w:t>
            </w:r>
          </w:p>
        </w:tc>
      </w:tr>
      <w:tr>
        <w:tc>
          <w:tcPr>
            <w:tcW w:type="dxa" w:w="2400"/>
            <w:shd w:fill="F2F6FA" w:val="clear"/>
            <w:tcMar>
              <w:top w:type="dxa" w:w="80"/>
              <w:left w:type="dxa" w:w="100"/>
              <w:bottom w:type="dxa" w:w="80"/>
              <w:right w:type="dxa" w:w="100"/>
            </w:tcMar>
          </w:tcPr>
          <w:p>
            <w:pPr>
              <w:jc w:val="left"/>
            </w:pPr>
            <w:r>
              <w:rPr>
                <w:b w:val="false"/>
                <w:bCs w:val="false"/>
                <w:color w:val="000000"/>
              </w:rPr>
              <w:t xml:space="preserve">Price</w:t>
            </w:r>
          </w:p>
        </w:tc>
        <w:tc>
          <w:tcPr>
            <w:tcW w:type="dxa" w:w="1600"/>
            <w:shd w:fill="F2F6FA" w:val="clear"/>
            <w:tcMar>
              <w:top w:type="dxa" w:w="80"/>
              <w:left w:type="dxa" w:w="100"/>
              <w:bottom w:type="dxa" w:w="80"/>
              <w:right w:type="dxa" w:w="100"/>
            </w:tcMar>
          </w:tcPr>
          <w:p>
            <w:pPr>
              <w:jc w:val="center"/>
            </w:pPr>
            <w:r>
              <w:rPr>
                <w:b w:val="false"/>
                <w:bCs w:val="false"/>
                <w:color w:val="000000"/>
              </w:rPr>
              <w:t xml:space="preserve">Numeric (₹)</w:t>
            </w:r>
          </w:p>
        </w:tc>
        <w:tc>
          <w:tcPr>
            <w:tcW w:type="dxa" w:w="5600"/>
            <w:shd w:fill="F2F6FA" w:val="clear"/>
            <w:tcMar>
              <w:top w:type="dxa" w:w="80"/>
              <w:left w:type="dxa" w:w="100"/>
              <w:bottom w:type="dxa" w:w="80"/>
              <w:right w:type="dxa" w:w="100"/>
            </w:tcMar>
          </w:tcPr>
          <w:p>
            <w:pPr>
              <w:jc w:val="center"/>
            </w:pPr>
            <w:r>
              <w:rPr>
                <w:b w:val="false"/>
                <w:bCs w:val="false"/>
                <w:color w:val="000000"/>
              </w:rPr>
              <w:t xml:space="preserve">Unit price of the device</w:t>
            </w:r>
          </w:p>
        </w:tc>
      </w:tr>
      <w:tr>
        <w:tc>
          <w:tcPr>
            <w:tcW w:type="dxa" w:w="2400"/>
            <w:shd w:fill="FFFFFF" w:val="clear"/>
            <w:tcMar>
              <w:top w:type="dxa" w:w="80"/>
              <w:left w:type="dxa" w:w="100"/>
              <w:bottom w:type="dxa" w:w="80"/>
              <w:right w:type="dxa" w:w="100"/>
            </w:tcMar>
          </w:tcPr>
          <w:p>
            <w:pPr>
              <w:jc w:val="left"/>
            </w:pPr>
            <w:r>
              <w:rPr>
                <w:b w:val="false"/>
                <w:bCs w:val="false"/>
                <w:color w:val="000000"/>
              </w:rPr>
              <w:t xml:space="preserve">UnitsSold</w:t>
            </w:r>
          </w:p>
        </w:tc>
        <w:tc>
          <w:tcPr>
            <w:tcW w:type="dxa" w:w="1600"/>
            <w:shd w:fill="FFFFFF" w:val="clear"/>
            <w:tcMar>
              <w:top w:type="dxa" w:w="80"/>
              <w:left w:type="dxa" w:w="100"/>
              <w:bottom w:type="dxa" w:w="80"/>
              <w:right w:type="dxa" w:w="100"/>
            </w:tcMar>
          </w:tcPr>
          <w:p>
            <w:pPr>
              <w:jc w:val="center"/>
            </w:pPr>
            <w:r>
              <w:rPr>
                <w:b w:val="false"/>
                <w:bCs w:val="false"/>
                <w:color w:val="000000"/>
              </w:rPr>
              <w:t xml:space="preserve">Integer</w:t>
            </w:r>
          </w:p>
        </w:tc>
        <w:tc>
          <w:tcPr>
            <w:tcW w:type="dxa" w:w="5600"/>
            <w:shd w:fill="FFFFFF" w:val="clear"/>
            <w:tcMar>
              <w:top w:type="dxa" w:w="80"/>
              <w:left w:type="dxa" w:w="100"/>
              <w:bottom w:type="dxa" w:w="80"/>
              <w:right w:type="dxa" w:w="100"/>
            </w:tcMar>
          </w:tcPr>
          <w:p>
            <w:pPr>
              <w:jc w:val="center"/>
            </w:pPr>
            <w:r>
              <w:rPr>
                <w:b w:val="false"/>
                <w:bCs w:val="false"/>
                <w:color w:val="000000"/>
              </w:rPr>
              <w:t xml:space="preserve">Units sold in the transaction (1–99)</w:t>
            </w:r>
          </w:p>
        </w:tc>
      </w:tr>
      <w:tr>
        <w:tc>
          <w:tcPr>
            <w:tcW w:type="dxa" w:w="2400"/>
            <w:shd w:fill="F2F6FA" w:val="clear"/>
            <w:tcMar>
              <w:top w:type="dxa" w:w="80"/>
              <w:left w:type="dxa" w:w="100"/>
              <w:bottom w:type="dxa" w:w="80"/>
              <w:right w:type="dxa" w:w="100"/>
            </w:tcMar>
          </w:tcPr>
          <w:p>
            <w:pPr>
              <w:jc w:val="left"/>
            </w:pPr>
            <w:r>
              <w:rPr>
                <w:b w:val="false"/>
                <w:bCs w:val="false"/>
                <w:color w:val="000000"/>
              </w:rPr>
              <w:t xml:space="preserve">TotalRevenue</w:t>
            </w:r>
          </w:p>
        </w:tc>
        <w:tc>
          <w:tcPr>
            <w:tcW w:type="dxa" w:w="1600"/>
            <w:shd w:fill="F2F6FA" w:val="clear"/>
            <w:tcMar>
              <w:top w:type="dxa" w:w="80"/>
              <w:left w:type="dxa" w:w="100"/>
              <w:bottom w:type="dxa" w:w="80"/>
              <w:right w:type="dxa" w:w="100"/>
            </w:tcMar>
          </w:tcPr>
          <w:p>
            <w:pPr>
              <w:jc w:val="center"/>
            </w:pPr>
            <w:r>
              <w:rPr>
                <w:b w:val="false"/>
                <w:bCs w:val="false"/>
                <w:color w:val="000000"/>
              </w:rPr>
              <w:t xml:space="preserve">Numeric (₹)</w:t>
            </w:r>
          </w:p>
        </w:tc>
        <w:tc>
          <w:tcPr>
            <w:tcW w:type="dxa" w:w="5600"/>
            <w:shd w:fill="F2F6FA" w:val="clear"/>
            <w:tcMar>
              <w:top w:type="dxa" w:w="80"/>
              <w:left w:type="dxa" w:w="100"/>
              <w:bottom w:type="dxa" w:w="80"/>
              <w:right w:type="dxa" w:w="100"/>
            </w:tcMar>
          </w:tcPr>
          <w:p>
            <w:pPr>
              <w:jc w:val="center"/>
            </w:pPr>
            <w:r>
              <w:rPr>
                <w:b w:val="false"/>
                <w:bCs w:val="false"/>
                <w:color w:val="000000"/>
              </w:rPr>
              <w:t xml:space="preserve">Revenue recorded for the transaction</w:t>
            </w:r>
          </w:p>
        </w:tc>
      </w:tr>
      <w:tr>
        <w:tc>
          <w:tcPr>
            <w:tcW w:type="dxa" w:w="2400"/>
            <w:shd w:fill="FFFFFF" w:val="clear"/>
            <w:tcMar>
              <w:top w:type="dxa" w:w="80"/>
              <w:left w:type="dxa" w:w="100"/>
              <w:bottom w:type="dxa" w:w="80"/>
              <w:right w:type="dxa" w:w="100"/>
            </w:tcMar>
          </w:tcPr>
          <w:p>
            <w:pPr>
              <w:jc w:val="left"/>
            </w:pPr>
            <w:r>
              <w:rPr>
                <w:b w:val="false"/>
                <w:bCs w:val="false"/>
                <w:color w:val="000000"/>
              </w:rPr>
              <w:t xml:space="preserve">CustomerAge</w:t>
            </w:r>
          </w:p>
        </w:tc>
        <w:tc>
          <w:tcPr>
            <w:tcW w:type="dxa" w:w="1600"/>
            <w:shd w:fill="FFFFFF" w:val="clear"/>
            <w:tcMar>
              <w:top w:type="dxa" w:w="80"/>
              <w:left w:type="dxa" w:w="100"/>
              <w:bottom w:type="dxa" w:w="80"/>
              <w:right w:type="dxa" w:w="100"/>
            </w:tcMar>
          </w:tcPr>
          <w:p>
            <w:pPr>
              <w:jc w:val="center"/>
            </w:pPr>
            <w:r>
              <w:rPr>
                <w:b w:val="false"/>
                <w:bCs w:val="false"/>
                <w:color w:val="000000"/>
              </w:rPr>
              <w:t xml:space="preserve">Integer</w:t>
            </w:r>
          </w:p>
        </w:tc>
        <w:tc>
          <w:tcPr>
            <w:tcW w:type="dxa" w:w="5600"/>
            <w:shd w:fill="FFFFFF" w:val="clear"/>
            <w:tcMar>
              <w:top w:type="dxa" w:w="80"/>
              <w:left w:type="dxa" w:w="100"/>
              <w:bottom w:type="dxa" w:w="80"/>
              <w:right w:type="dxa" w:w="100"/>
            </w:tcMar>
          </w:tcPr>
          <w:p>
            <w:pPr>
              <w:jc w:val="center"/>
            </w:pPr>
            <w:r>
              <w:rPr>
                <w:b w:val="false"/>
                <w:bCs w:val="false"/>
                <w:color w:val="000000"/>
              </w:rPr>
              <w:t xml:space="preserve">Customer age in years (18–64)</w:t>
            </w:r>
          </w:p>
        </w:tc>
      </w:tr>
      <w:tr>
        <w:tc>
          <w:tcPr>
            <w:tcW w:type="dxa" w:w="2400"/>
            <w:shd w:fill="F2F6FA" w:val="clear"/>
            <w:tcMar>
              <w:top w:type="dxa" w:w="80"/>
              <w:left w:type="dxa" w:w="100"/>
              <w:bottom w:type="dxa" w:w="80"/>
              <w:right w:type="dxa" w:w="100"/>
            </w:tcMar>
          </w:tcPr>
          <w:p>
            <w:pPr>
              <w:jc w:val="left"/>
            </w:pPr>
            <w:r>
              <w:rPr>
                <w:b w:val="false"/>
                <w:bCs w:val="false"/>
                <w:color w:val="000000"/>
              </w:rPr>
              <w:t xml:space="preserve">CustomerGender</w:t>
            </w:r>
          </w:p>
        </w:tc>
        <w:tc>
          <w:tcPr>
            <w:tcW w:type="dxa" w:w="1600"/>
            <w:shd w:fill="F2F6FA" w:val="clear"/>
            <w:tcMar>
              <w:top w:type="dxa" w:w="80"/>
              <w:left w:type="dxa" w:w="100"/>
              <w:bottom w:type="dxa" w:w="80"/>
              <w:right w:type="dxa" w:w="100"/>
            </w:tcMar>
          </w:tcPr>
          <w:p>
            <w:pPr>
              <w:jc w:val="center"/>
            </w:pPr>
            <w:r>
              <w:rPr>
                <w:b w:val="false"/>
                <w:bCs w:val="false"/>
                <w:color w:val="000000"/>
              </w:rPr>
              <w:t xml:space="preserve">Categorical</w:t>
            </w:r>
          </w:p>
        </w:tc>
        <w:tc>
          <w:tcPr>
            <w:tcW w:type="dxa" w:w="5600"/>
            <w:shd w:fill="F2F6FA" w:val="clear"/>
            <w:tcMar>
              <w:top w:type="dxa" w:w="80"/>
              <w:left w:type="dxa" w:w="100"/>
              <w:bottom w:type="dxa" w:w="80"/>
              <w:right w:type="dxa" w:w="100"/>
            </w:tcMar>
          </w:tcPr>
          <w:p>
            <w:pPr>
              <w:jc w:val="center"/>
            </w:pPr>
            <w:r>
              <w:rPr>
                <w:b w:val="false"/>
                <w:bCs w:val="false"/>
                <w:color w:val="000000"/>
              </w:rPr>
              <w:t xml:space="preserve">Male / Female / Other</w:t>
            </w:r>
          </w:p>
        </w:tc>
      </w:tr>
      <w:tr>
        <w:tc>
          <w:tcPr>
            <w:tcW w:type="dxa" w:w="2400"/>
            <w:shd w:fill="FFFFFF" w:val="clear"/>
            <w:tcMar>
              <w:top w:type="dxa" w:w="80"/>
              <w:left w:type="dxa" w:w="100"/>
              <w:bottom w:type="dxa" w:w="80"/>
              <w:right w:type="dxa" w:w="100"/>
            </w:tcMar>
          </w:tcPr>
          <w:p>
            <w:pPr>
              <w:jc w:val="left"/>
            </w:pPr>
            <w:r>
              <w:rPr>
                <w:b w:val="false"/>
                <w:bCs w:val="false"/>
                <w:color w:val="000000"/>
              </w:rPr>
              <w:t xml:space="preserve">Location</w:t>
            </w:r>
          </w:p>
        </w:tc>
        <w:tc>
          <w:tcPr>
            <w:tcW w:type="dxa" w:w="1600"/>
            <w:shd w:fill="FFFFFF" w:val="clear"/>
            <w:tcMar>
              <w:top w:type="dxa" w:w="80"/>
              <w:left w:type="dxa" w:w="100"/>
              <w:bottom w:type="dxa" w:w="80"/>
              <w:right w:type="dxa" w:w="100"/>
            </w:tcMar>
          </w:tcPr>
          <w:p>
            <w:pPr>
              <w:jc w:val="center"/>
            </w:pPr>
            <w:r>
              <w:rPr>
                <w:b w:val="false"/>
                <w:bCs w:val="false"/>
                <w:color w:val="000000"/>
              </w:rPr>
              <w:t xml:space="preserve">Text</w:t>
            </w:r>
          </w:p>
        </w:tc>
        <w:tc>
          <w:tcPr>
            <w:tcW w:type="dxa" w:w="5600"/>
            <w:shd w:fill="FFFFFF" w:val="clear"/>
            <w:tcMar>
              <w:top w:type="dxa" w:w="80"/>
              <w:left w:type="dxa" w:w="100"/>
              <w:bottom w:type="dxa" w:w="80"/>
              <w:right w:type="dxa" w:w="100"/>
            </w:tcMar>
          </w:tcPr>
          <w:p>
            <w:pPr>
              <w:jc w:val="center"/>
            </w:pPr>
            <w:r>
              <w:rPr>
                <w:b w:val="false"/>
                <w:bCs w:val="false"/>
                <w:color w:val="000000"/>
              </w:rPr>
              <w:t xml:space="preserve">Customer city (synthetic placeholder text)</w:t>
            </w:r>
          </w:p>
        </w:tc>
      </w:tr>
      <w:tr>
        <w:tc>
          <w:tcPr>
            <w:tcW w:type="dxa" w:w="2400"/>
            <w:shd w:fill="F2F6FA" w:val="clear"/>
            <w:tcMar>
              <w:top w:type="dxa" w:w="80"/>
              <w:left w:type="dxa" w:w="100"/>
              <w:bottom w:type="dxa" w:w="80"/>
              <w:right w:type="dxa" w:w="100"/>
            </w:tcMar>
          </w:tcPr>
          <w:p>
            <w:pPr>
              <w:jc w:val="left"/>
            </w:pPr>
            <w:r>
              <w:rPr>
                <w:b w:val="false"/>
                <w:bCs w:val="false"/>
                <w:color w:val="000000"/>
              </w:rPr>
              <w:t xml:space="preserve">PaymentMethod</w:t>
            </w:r>
          </w:p>
        </w:tc>
        <w:tc>
          <w:tcPr>
            <w:tcW w:type="dxa" w:w="1600"/>
            <w:shd w:fill="F2F6FA" w:val="clear"/>
            <w:tcMar>
              <w:top w:type="dxa" w:w="80"/>
              <w:left w:type="dxa" w:w="100"/>
              <w:bottom w:type="dxa" w:w="80"/>
              <w:right w:type="dxa" w:w="100"/>
            </w:tcMar>
          </w:tcPr>
          <w:p>
            <w:pPr>
              <w:jc w:val="center"/>
            </w:pPr>
            <w:r>
              <w:rPr>
                <w:b w:val="false"/>
                <w:bCs w:val="false"/>
                <w:color w:val="000000"/>
              </w:rPr>
              <w:t xml:space="preserve">Categorical</w:t>
            </w:r>
          </w:p>
        </w:tc>
        <w:tc>
          <w:tcPr>
            <w:tcW w:type="dxa" w:w="5600"/>
            <w:shd w:fill="F2F6FA" w:val="clear"/>
            <w:tcMar>
              <w:top w:type="dxa" w:w="80"/>
              <w:left w:type="dxa" w:w="100"/>
              <w:bottom w:type="dxa" w:w="80"/>
              <w:right w:type="dxa" w:w="100"/>
            </w:tcMar>
          </w:tcPr>
          <w:p>
            <w:pPr>
              <w:jc w:val="center"/>
            </w:pPr>
            <w:r>
              <w:rPr>
                <w:b w:val="false"/>
                <w:bCs w:val="false"/>
                <w:color w:val="000000"/>
              </w:rPr>
              <w:t xml:space="preserve">Online / Credit Card / Debit Card / Cash</w:t>
            </w:r>
          </w:p>
        </w:tc>
      </w:tr>
    </w:tbl>
    <w:p>
      <w:pPr>
        <w:pStyle w:val="Heading2"/>
        <w:spacing w:after="140" w:before="280"/>
      </w:pPr>
      <w:r>
        <w:t xml:space="preserve">3.2 Dataset Overview</w:t>
      </w:r>
    </w:p>
    <w:p>
      <w:pPr>
        <w:pStyle w:val="ListParagraph"/>
        <w:numPr>
          <w:ilvl w:val="0"/>
          <w:numId w:val="2"/>
        </w:numPr>
        <w:spacing w:after="80"/>
      </w:pPr>
      <w:r>
        <w:t xml:space="preserve">Total records: 1,000 transactions; 11 columns; no missing values in any column</w:t>
      </w:r>
    </w:p>
    <w:p>
      <w:pPr>
        <w:pStyle w:val="ListParagraph"/>
        <w:numPr>
          <w:ilvl w:val="0"/>
          <w:numId w:val="2"/>
        </w:numPr>
        <w:spacing w:after="80"/>
      </w:pPr>
      <w:r>
        <w:t xml:space="preserve">No fully duplicated rows and no duplicate TransactionID values were found</w:t>
      </w:r>
    </w:p>
    <w:p>
      <w:pPr>
        <w:pStyle w:val="ListParagraph"/>
        <w:numPr>
          <w:ilvl w:val="0"/>
          <w:numId w:val="2"/>
        </w:numPr>
        <w:spacing w:after="80"/>
      </w:pPr>
      <w:r>
        <w:t xml:space="preserve">Date range: 1 January 2024 to 25 July 2024 (July is a partial month — see 3.4)</w:t>
      </w:r>
    </w:p>
    <w:p>
      <w:pPr>
        <w:pStyle w:val="ListParagraph"/>
        <w:numPr>
          <w:ilvl w:val="0"/>
          <w:numId w:val="2"/>
        </w:numPr>
        <w:spacing w:after="80"/>
      </w:pPr>
      <w:r>
        <w:t xml:space="preserve">Payment method split: Credit Card 278, Online 259, Debit Card 246, Cash 217 transactions</w:t>
      </w:r>
    </w:p>
    <w:p>
      <w:pPr>
        <w:pStyle w:val="ListParagraph"/>
        <w:numPr>
          <w:ilvl w:val="0"/>
          <w:numId w:val="2"/>
        </w:numPr>
        <w:spacing w:after="80"/>
      </w:pPr>
      <w:r>
        <w:t xml:space="preserve">Gender split: Female 341, Other 339, Male 320 transactions</w:t>
      </w:r>
    </w:p>
    <w:p>
      <w:pPr>
        <w:pStyle w:val="Heading2"/>
        <w:spacing w:after="140" w:before="280"/>
      </w:pPr>
      <w:r>
        <w:t xml:space="preserve">3.3 Descriptive Statistics — Numeric Fields</w:t>
      </w:r>
    </w:p>
    <w:tbl>
      <w:tblPr>
        <w:tblW w:type="dxa" w:w="9600"/>
        <w:tblBorders>
          <w:top w:val="single" w:color="B7C6D9" w:sz="4"/>
          <w:left w:val="single" w:color="B7C6D9" w:sz="4"/>
          <w:bottom w:val="single" w:color="B7C6D9" w:sz="4"/>
          <w:right w:val="single" w:color="B7C6D9" w:sz="4"/>
          <w:insideH w:val="single" w:color="D6E0EA" w:sz="2"/>
          <w:insideV w:val="single" w:color="D6E0EA" w:sz="2"/>
        </w:tblBorders>
      </w:tblPr>
      <w:tblGrid>
        <w:gridCol w:w="2600"/>
        <w:gridCol w:w="1650"/>
        <w:gridCol w:w="1650"/>
        <w:gridCol w:w="2100"/>
        <w:gridCol w:w="1600"/>
      </w:tblGrid>
      <w:tr>
        <w:trPr>
          <w:tblHeader/>
        </w:trPr>
        <w:tc>
          <w:tcPr>
            <w:tcW w:type="dxa" w:w="2600"/>
            <w:shd w:fill="1F4E79" w:val="clear"/>
            <w:tcMar>
              <w:top w:type="dxa" w:w="80"/>
              <w:left w:type="dxa" w:w="100"/>
              <w:bottom w:type="dxa" w:w="80"/>
              <w:right w:type="dxa" w:w="100"/>
            </w:tcMar>
          </w:tcPr>
          <w:p>
            <w:pPr>
              <w:jc w:val="center"/>
            </w:pPr>
            <w:r>
              <w:rPr>
                <w:b/>
                <w:bCs/>
                <w:color w:val="FFFFFF"/>
              </w:rPr>
              <w:t xml:space="preserve">Statistic</w:t>
            </w:r>
          </w:p>
        </w:tc>
        <w:tc>
          <w:tcPr>
            <w:tcW w:type="dxa" w:w="1650"/>
            <w:shd w:fill="1F4E79" w:val="clear"/>
            <w:tcMar>
              <w:top w:type="dxa" w:w="80"/>
              <w:left w:type="dxa" w:w="100"/>
              <w:bottom w:type="dxa" w:w="80"/>
              <w:right w:type="dxa" w:w="100"/>
            </w:tcMar>
          </w:tcPr>
          <w:p>
            <w:pPr>
              <w:jc w:val="center"/>
            </w:pPr>
            <w:r>
              <w:rPr>
                <w:b/>
                <w:bCs/>
                <w:color w:val="FFFFFF"/>
              </w:rPr>
              <w:t xml:space="preserve">Price (₹)</w:t>
            </w:r>
          </w:p>
        </w:tc>
        <w:tc>
          <w:tcPr>
            <w:tcW w:type="dxa" w:w="1650"/>
            <w:shd w:fill="1F4E79" w:val="clear"/>
            <w:tcMar>
              <w:top w:type="dxa" w:w="80"/>
              <w:left w:type="dxa" w:w="100"/>
              <w:bottom w:type="dxa" w:w="80"/>
              <w:right w:type="dxa" w:w="100"/>
            </w:tcMar>
          </w:tcPr>
          <w:p>
            <w:pPr>
              <w:jc w:val="center"/>
            </w:pPr>
            <w:r>
              <w:rPr>
                <w:b/>
                <w:bCs/>
                <w:color w:val="FFFFFF"/>
              </w:rPr>
              <w:t xml:space="preserve">UnitsSold</w:t>
            </w:r>
          </w:p>
        </w:tc>
        <w:tc>
          <w:tcPr>
            <w:tcW w:type="dxa" w:w="2100"/>
            <w:shd w:fill="1F4E79" w:val="clear"/>
            <w:tcMar>
              <w:top w:type="dxa" w:w="80"/>
              <w:left w:type="dxa" w:w="100"/>
              <w:bottom w:type="dxa" w:w="80"/>
              <w:right w:type="dxa" w:w="100"/>
            </w:tcMar>
          </w:tcPr>
          <w:p>
            <w:pPr>
              <w:jc w:val="center"/>
            </w:pPr>
            <w:r>
              <w:rPr>
                <w:b/>
                <w:bCs/>
                <w:color w:val="FFFFFF"/>
              </w:rPr>
              <w:t xml:space="preserve">TotalRevenue (₹)</w:t>
            </w:r>
          </w:p>
        </w:tc>
        <w:tc>
          <w:tcPr>
            <w:tcW w:type="dxa" w:w="1600"/>
            <w:shd w:fill="1F4E79" w:val="clear"/>
            <w:tcMar>
              <w:top w:type="dxa" w:w="80"/>
              <w:left w:type="dxa" w:w="100"/>
              <w:bottom w:type="dxa" w:w="80"/>
              <w:right w:type="dxa" w:w="100"/>
            </w:tcMar>
          </w:tcPr>
          <w:p>
            <w:pPr>
              <w:jc w:val="center"/>
            </w:pPr>
            <w:r>
              <w:rPr>
                <w:b/>
                <w:bCs/>
                <w:color w:val="FFFFFF"/>
              </w:rPr>
              <w:t xml:space="preserve">CustomerAge</w:t>
            </w:r>
          </w:p>
        </w:tc>
      </w:tr>
      <w:tr>
        <w:tc>
          <w:tcPr>
            <w:tcW w:type="dxa" w:w="2600"/>
            <w:shd w:fill="F2F6FA" w:val="clear"/>
            <w:tcMar>
              <w:top w:type="dxa" w:w="80"/>
              <w:left w:type="dxa" w:w="100"/>
              <w:bottom w:type="dxa" w:w="80"/>
              <w:right w:type="dxa" w:w="100"/>
            </w:tcMar>
          </w:tcPr>
          <w:p>
            <w:pPr>
              <w:jc w:val="left"/>
            </w:pPr>
            <w:r>
              <w:rPr>
                <w:b w:val="false"/>
                <w:bCs w:val="false"/>
                <w:color w:val="000000"/>
              </w:rPr>
              <w:t xml:space="preserve">Count</w:t>
            </w:r>
          </w:p>
        </w:tc>
        <w:tc>
          <w:tcPr>
            <w:tcW w:type="dxa" w:w="1650"/>
            <w:shd w:fill="F2F6FA" w:val="clear"/>
            <w:tcMar>
              <w:top w:type="dxa" w:w="80"/>
              <w:left w:type="dxa" w:w="100"/>
              <w:bottom w:type="dxa" w:w="80"/>
              <w:right w:type="dxa" w:w="100"/>
            </w:tcMar>
          </w:tcPr>
          <w:p>
            <w:pPr>
              <w:jc w:val="center"/>
            </w:pPr>
            <w:r>
              <w:rPr>
                <w:b w:val="false"/>
                <w:bCs w:val="false"/>
                <w:color w:val="000000"/>
              </w:rPr>
              <w:t xml:space="preserve">1,000</w:t>
            </w:r>
          </w:p>
        </w:tc>
        <w:tc>
          <w:tcPr>
            <w:tcW w:type="dxa" w:w="1650"/>
            <w:shd w:fill="F2F6FA" w:val="clear"/>
            <w:tcMar>
              <w:top w:type="dxa" w:w="80"/>
              <w:left w:type="dxa" w:w="100"/>
              <w:bottom w:type="dxa" w:w="80"/>
              <w:right w:type="dxa" w:w="100"/>
            </w:tcMar>
          </w:tcPr>
          <w:p>
            <w:pPr>
              <w:jc w:val="center"/>
            </w:pPr>
            <w:r>
              <w:rPr>
                <w:b w:val="false"/>
                <w:bCs w:val="false"/>
                <w:color w:val="000000"/>
              </w:rPr>
              <w:t xml:space="preserve">1,000</w:t>
            </w:r>
          </w:p>
        </w:tc>
        <w:tc>
          <w:tcPr>
            <w:tcW w:type="dxa" w:w="2100"/>
            <w:shd w:fill="F2F6FA" w:val="clear"/>
            <w:tcMar>
              <w:top w:type="dxa" w:w="80"/>
              <w:left w:type="dxa" w:w="100"/>
              <w:bottom w:type="dxa" w:w="80"/>
              <w:right w:type="dxa" w:w="100"/>
            </w:tcMar>
          </w:tcPr>
          <w:p>
            <w:pPr>
              <w:jc w:val="center"/>
            </w:pPr>
            <w:r>
              <w:rPr>
                <w:b w:val="false"/>
                <w:bCs w:val="false"/>
                <w:color w:val="000000"/>
              </w:rPr>
              <w:t xml:space="preserve">1,000</w:t>
            </w:r>
          </w:p>
        </w:tc>
        <w:tc>
          <w:tcPr>
            <w:tcW w:type="dxa" w:w="1600"/>
            <w:shd w:fill="F2F6FA" w:val="clear"/>
            <w:tcMar>
              <w:top w:type="dxa" w:w="80"/>
              <w:left w:type="dxa" w:w="100"/>
              <w:bottom w:type="dxa" w:w="80"/>
              <w:right w:type="dxa" w:w="100"/>
            </w:tcMar>
          </w:tcPr>
          <w:p>
            <w:pPr>
              <w:jc w:val="center"/>
            </w:pPr>
            <w:r>
              <w:rPr>
                <w:b w:val="false"/>
                <w:bCs w:val="false"/>
                <w:color w:val="000000"/>
              </w:rPr>
              <w:t xml:space="preserve">1,000</w:t>
            </w:r>
          </w:p>
        </w:tc>
      </w:tr>
      <w:tr>
        <w:tc>
          <w:tcPr>
            <w:tcW w:type="dxa" w:w="2600"/>
            <w:shd w:fill="FFFFFF" w:val="clear"/>
            <w:tcMar>
              <w:top w:type="dxa" w:w="80"/>
              <w:left w:type="dxa" w:w="100"/>
              <w:bottom w:type="dxa" w:w="80"/>
              <w:right w:type="dxa" w:w="100"/>
            </w:tcMar>
          </w:tcPr>
          <w:p>
            <w:pPr>
              <w:jc w:val="left"/>
            </w:pPr>
            <w:r>
              <w:rPr>
                <w:b w:val="false"/>
                <w:bCs w:val="false"/>
                <w:color w:val="000000"/>
              </w:rPr>
              <w:t xml:space="preserve">Mean</w:t>
            </w:r>
          </w:p>
        </w:tc>
        <w:tc>
          <w:tcPr>
            <w:tcW w:type="dxa" w:w="1650"/>
            <w:shd w:fill="FFFFFF" w:val="clear"/>
            <w:tcMar>
              <w:top w:type="dxa" w:w="80"/>
              <w:left w:type="dxa" w:w="100"/>
              <w:bottom w:type="dxa" w:w="80"/>
              <w:right w:type="dxa" w:w="100"/>
            </w:tcMar>
          </w:tcPr>
          <w:p>
            <w:pPr>
              <w:jc w:val="center"/>
            </w:pPr>
            <w:r>
              <w:rPr>
                <w:b w:val="false"/>
                <w:bCs w:val="false"/>
                <w:color w:val="000000"/>
              </w:rPr>
              <w:t xml:space="preserve">807.51</w:t>
            </w:r>
          </w:p>
        </w:tc>
        <w:tc>
          <w:tcPr>
            <w:tcW w:type="dxa" w:w="1650"/>
            <w:shd w:fill="FFFFFF" w:val="clear"/>
            <w:tcMar>
              <w:top w:type="dxa" w:w="80"/>
              <w:left w:type="dxa" w:w="100"/>
              <w:bottom w:type="dxa" w:w="80"/>
              <w:right w:type="dxa" w:w="100"/>
            </w:tcMar>
          </w:tcPr>
          <w:p>
            <w:pPr>
              <w:jc w:val="center"/>
            </w:pPr>
            <w:r>
              <w:rPr>
                <w:b w:val="false"/>
                <w:bCs w:val="false"/>
                <w:color w:val="000000"/>
              </w:rPr>
              <w:t xml:space="preserve">50.07</w:t>
            </w:r>
          </w:p>
        </w:tc>
        <w:tc>
          <w:tcPr>
            <w:tcW w:type="dxa" w:w="2100"/>
            <w:shd w:fill="FFFFFF" w:val="clear"/>
            <w:tcMar>
              <w:top w:type="dxa" w:w="80"/>
              <w:left w:type="dxa" w:w="100"/>
              <w:bottom w:type="dxa" w:w="80"/>
              <w:right w:type="dxa" w:w="100"/>
            </w:tcMar>
          </w:tcPr>
          <w:p>
            <w:pPr>
              <w:jc w:val="center"/>
            </w:pPr>
            <w:r>
              <w:rPr>
                <w:b w:val="false"/>
                <w:bCs w:val="false"/>
                <w:color w:val="000000"/>
              </w:rPr>
              <w:t xml:space="preserve">40,218.45</w:t>
            </w:r>
          </w:p>
        </w:tc>
        <w:tc>
          <w:tcPr>
            <w:tcW w:type="dxa" w:w="1600"/>
            <w:shd w:fill="FFFFFF" w:val="clear"/>
            <w:tcMar>
              <w:top w:type="dxa" w:w="80"/>
              <w:left w:type="dxa" w:w="100"/>
              <w:bottom w:type="dxa" w:w="80"/>
              <w:right w:type="dxa" w:w="100"/>
            </w:tcMar>
          </w:tcPr>
          <w:p>
            <w:pPr>
              <w:jc w:val="center"/>
            </w:pPr>
            <w:r>
              <w:rPr>
                <w:b w:val="false"/>
                <w:bCs w:val="false"/>
                <w:color w:val="000000"/>
              </w:rPr>
              <w:t xml:space="preserve">41.14</w:t>
            </w:r>
          </w:p>
        </w:tc>
      </w:tr>
      <w:tr>
        <w:tc>
          <w:tcPr>
            <w:tcW w:type="dxa" w:w="2600"/>
            <w:shd w:fill="F2F6FA" w:val="clear"/>
            <w:tcMar>
              <w:top w:type="dxa" w:w="80"/>
              <w:left w:type="dxa" w:w="100"/>
              <w:bottom w:type="dxa" w:w="80"/>
              <w:right w:type="dxa" w:w="100"/>
            </w:tcMar>
          </w:tcPr>
          <w:p>
            <w:pPr>
              <w:jc w:val="left"/>
            </w:pPr>
            <w:r>
              <w:rPr>
                <w:b w:val="false"/>
                <w:bCs w:val="false"/>
                <w:color w:val="000000"/>
              </w:rPr>
              <w:t xml:space="preserve">Std. Dev.</w:t>
            </w:r>
          </w:p>
        </w:tc>
        <w:tc>
          <w:tcPr>
            <w:tcW w:type="dxa" w:w="1650"/>
            <w:shd w:fill="F2F6FA" w:val="clear"/>
            <w:tcMar>
              <w:top w:type="dxa" w:w="80"/>
              <w:left w:type="dxa" w:w="100"/>
              <w:bottom w:type="dxa" w:w="80"/>
              <w:right w:type="dxa" w:w="100"/>
            </w:tcMar>
          </w:tcPr>
          <w:p>
            <w:pPr>
              <w:jc w:val="center"/>
            </w:pPr>
            <w:r>
              <w:rPr>
                <w:b w:val="false"/>
                <w:bCs w:val="false"/>
                <w:color w:val="000000"/>
              </w:rPr>
              <w:t xml:space="preserve">402.49</w:t>
            </w:r>
          </w:p>
        </w:tc>
        <w:tc>
          <w:tcPr>
            <w:tcW w:type="dxa" w:w="1650"/>
            <w:shd w:fill="F2F6FA" w:val="clear"/>
            <w:tcMar>
              <w:top w:type="dxa" w:w="80"/>
              <w:left w:type="dxa" w:w="100"/>
              <w:bottom w:type="dxa" w:w="80"/>
              <w:right w:type="dxa" w:w="100"/>
            </w:tcMar>
          </w:tcPr>
          <w:p>
            <w:pPr>
              <w:jc w:val="center"/>
            </w:pPr>
            <w:r>
              <w:rPr>
                <w:b w:val="false"/>
                <w:bCs w:val="false"/>
                <w:color w:val="000000"/>
              </w:rPr>
              <w:t xml:space="preserve">28.62</w:t>
            </w:r>
          </w:p>
        </w:tc>
        <w:tc>
          <w:tcPr>
            <w:tcW w:type="dxa" w:w="2100"/>
            <w:shd w:fill="F2F6FA" w:val="clear"/>
            <w:tcMar>
              <w:top w:type="dxa" w:w="80"/>
              <w:left w:type="dxa" w:w="100"/>
              <w:bottom w:type="dxa" w:w="80"/>
              <w:right w:type="dxa" w:w="100"/>
            </w:tcMar>
          </w:tcPr>
          <w:p>
            <w:pPr>
              <w:jc w:val="center"/>
            </w:pPr>
            <w:r>
              <w:rPr>
                <w:b w:val="false"/>
                <w:bCs w:val="false"/>
                <w:color w:val="000000"/>
              </w:rPr>
              <w:t xml:space="preserve">32,715.29</w:t>
            </w:r>
          </w:p>
        </w:tc>
        <w:tc>
          <w:tcPr>
            <w:tcW w:type="dxa" w:w="1600"/>
            <w:shd w:fill="F2F6FA" w:val="clear"/>
            <w:tcMar>
              <w:top w:type="dxa" w:w="80"/>
              <w:left w:type="dxa" w:w="100"/>
              <w:bottom w:type="dxa" w:w="80"/>
              <w:right w:type="dxa" w:w="100"/>
            </w:tcMar>
          </w:tcPr>
          <w:p>
            <w:pPr>
              <w:jc w:val="center"/>
            </w:pPr>
            <w:r>
              <w:rPr>
                <w:b w:val="false"/>
                <w:bCs w:val="false"/>
                <w:color w:val="000000"/>
              </w:rPr>
              <w:t xml:space="preserve">13.53</w:t>
            </w:r>
          </w:p>
        </w:tc>
      </w:tr>
      <w:tr>
        <w:tc>
          <w:tcPr>
            <w:tcW w:type="dxa" w:w="2600"/>
            <w:shd w:fill="FFFFFF" w:val="clear"/>
            <w:tcMar>
              <w:top w:type="dxa" w:w="80"/>
              <w:left w:type="dxa" w:w="100"/>
              <w:bottom w:type="dxa" w:w="80"/>
              <w:right w:type="dxa" w:w="100"/>
            </w:tcMar>
          </w:tcPr>
          <w:p>
            <w:pPr>
              <w:jc w:val="left"/>
            </w:pPr>
            <w:r>
              <w:rPr>
                <w:b w:val="false"/>
                <w:bCs w:val="false"/>
                <w:color w:val="000000"/>
              </w:rPr>
              <w:t xml:space="preserve">Minimum</w:t>
            </w:r>
          </w:p>
        </w:tc>
        <w:tc>
          <w:tcPr>
            <w:tcW w:type="dxa" w:w="1650"/>
            <w:shd w:fill="FFFFFF" w:val="clear"/>
            <w:tcMar>
              <w:top w:type="dxa" w:w="80"/>
              <w:left w:type="dxa" w:w="100"/>
              <w:bottom w:type="dxa" w:w="80"/>
              <w:right w:type="dxa" w:w="100"/>
            </w:tcMar>
          </w:tcPr>
          <w:p>
            <w:pPr>
              <w:jc w:val="center"/>
            </w:pPr>
            <w:r>
              <w:rPr>
                <w:b w:val="false"/>
                <w:bCs w:val="false"/>
                <w:color w:val="000000"/>
              </w:rPr>
              <w:t xml:space="preserve">103.32</w:t>
            </w:r>
          </w:p>
        </w:tc>
        <w:tc>
          <w:tcPr>
            <w:tcW w:type="dxa" w:w="1650"/>
            <w:shd w:fill="FFFFFF" w:val="clear"/>
            <w:tcMar>
              <w:top w:type="dxa" w:w="80"/>
              <w:left w:type="dxa" w:w="100"/>
              <w:bottom w:type="dxa" w:w="80"/>
              <w:right w:type="dxa" w:w="100"/>
            </w:tcMar>
          </w:tcPr>
          <w:p>
            <w:pPr>
              <w:jc w:val="center"/>
            </w:pPr>
            <w:r>
              <w:rPr>
                <w:b w:val="false"/>
                <w:bCs w:val="false"/>
                <w:color w:val="000000"/>
              </w:rPr>
              <w:t xml:space="preserve">1</w:t>
            </w:r>
          </w:p>
        </w:tc>
        <w:tc>
          <w:tcPr>
            <w:tcW w:type="dxa" w:w="2100"/>
            <w:shd w:fill="FFFFFF" w:val="clear"/>
            <w:tcMar>
              <w:top w:type="dxa" w:w="80"/>
              <w:left w:type="dxa" w:w="100"/>
              <w:bottom w:type="dxa" w:w="80"/>
              <w:right w:type="dxa" w:w="100"/>
            </w:tcMar>
          </w:tcPr>
          <w:p>
            <w:pPr>
              <w:jc w:val="center"/>
            </w:pPr>
            <w:r>
              <w:rPr>
                <w:b w:val="false"/>
                <w:bCs w:val="false"/>
                <w:color w:val="000000"/>
              </w:rPr>
              <w:t xml:space="preserve">34.20</w:t>
            </w:r>
          </w:p>
        </w:tc>
        <w:tc>
          <w:tcPr>
            <w:tcW w:type="dxa" w:w="1600"/>
            <w:shd w:fill="FFFFFF" w:val="clear"/>
            <w:tcMar>
              <w:top w:type="dxa" w:w="80"/>
              <w:left w:type="dxa" w:w="100"/>
              <w:bottom w:type="dxa" w:w="80"/>
              <w:right w:type="dxa" w:w="100"/>
            </w:tcMar>
          </w:tcPr>
          <w:p>
            <w:pPr>
              <w:jc w:val="center"/>
            </w:pPr>
            <w:r>
              <w:rPr>
                <w:b w:val="false"/>
                <w:bCs w:val="false"/>
                <w:color w:val="000000"/>
              </w:rPr>
              <w:t xml:space="preserve">18</w:t>
            </w:r>
          </w:p>
        </w:tc>
      </w:tr>
      <w:tr>
        <w:tc>
          <w:tcPr>
            <w:tcW w:type="dxa" w:w="2600"/>
            <w:shd w:fill="F2F6FA" w:val="clear"/>
            <w:tcMar>
              <w:top w:type="dxa" w:w="80"/>
              <w:left w:type="dxa" w:w="100"/>
              <w:bottom w:type="dxa" w:w="80"/>
              <w:right w:type="dxa" w:w="100"/>
            </w:tcMar>
          </w:tcPr>
          <w:p>
            <w:pPr>
              <w:jc w:val="left"/>
            </w:pPr>
            <w:r>
              <w:rPr>
                <w:b w:val="false"/>
                <w:bCs w:val="false"/>
                <w:color w:val="000000"/>
              </w:rPr>
              <w:t xml:space="preserve">25th percentile</w:t>
            </w:r>
          </w:p>
        </w:tc>
        <w:tc>
          <w:tcPr>
            <w:tcW w:type="dxa" w:w="1650"/>
            <w:shd w:fill="F2F6FA" w:val="clear"/>
            <w:tcMar>
              <w:top w:type="dxa" w:w="80"/>
              <w:left w:type="dxa" w:w="100"/>
              <w:bottom w:type="dxa" w:w="80"/>
              <w:right w:type="dxa" w:w="100"/>
            </w:tcMar>
          </w:tcPr>
          <w:p>
            <w:pPr>
              <w:jc w:val="center"/>
            </w:pPr>
            <w:r>
              <w:rPr>
                <w:b w:val="false"/>
                <w:bCs w:val="false"/>
                <w:color w:val="000000"/>
              </w:rPr>
              <w:t xml:space="preserve">446.86</w:t>
            </w:r>
          </w:p>
        </w:tc>
        <w:tc>
          <w:tcPr>
            <w:tcW w:type="dxa" w:w="1650"/>
            <w:shd w:fill="F2F6FA" w:val="clear"/>
            <w:tcMar>
              <w:top w:type="dxa" w:w="80"/>
              <w:left w:type="dxa" w:w="100"/>
              <w:bottom w:type="dxa" w:w="80"/>
              <w:right w:type="dxa" w:w="100"/>
            </w:tcMar>
          </w:tcPr>
          <w:p>
            <w:pPr>
              <w:jc w:val="center"/>
            </w:pPr>
            <w:r>
              <w:rPr>
                <w:b w:val="false"/>
                <w:bCs w:val="false"/>
                <w:color w:val="000000"/>
              </w:rPr>
              <w:t xml:space="preserve">25</w:t>
            </w:r>
          </w:p>
        </w:tc>
        <w:tc>
          <w:tcPr>
            <w:tcW w:type="dxa" w:w="2100"/>
            <w:shd w:fill="F2F6FA" w:val="clear"/>
            <w:tcMar>
              <w:top w:type="dxa" w:w="80"/>
              <w:left w:type="dxa" w:w="100"/>
              <w:bottom w:type="dxa" w:w="80"/>
              <w:right w:type="dxa" w:w="100"/>
            </w:tcMar>
          </w:tcPr>
          <w:p>
            <w:pPr>
              <w:jc w:val="center"/>
            </w:pPr>
            <w:r>
              <w:rPr>
                <w:b w:val="false"/>
                <w:bCs w:val="false"/>
                <w:color w:val="000000"/>
              </w:rPr>
              <w:t xml:space="preserve">13,986.10</w:t>
            </w:r>
          </w:p>
        </w:tc>
        <w:tc>
          <w:tcPr>
            <w:tcW w:type="dxa" w:w="1600"/>
            <w:shd w:fill="F2F6FA" w:val="clear"/>
            <w:tcMar>
              <w:top w:type="dxa" w:w="80"/>
              <w:left w:type="dxa" w:w="100"/>
              <w:bottom w:type="dxa" w:w="80"/>
              <w:right w:type="dxa" w:w="100"/>
            </w:tcMar>
          </w:tcPr>
          <w:p>
            <w:pPr>
              <w:jc w:val="center"/>
            </w:pPr>
            <w:r>
              <w:rPr>
                <w:b w:val="false"/>
                <w:bCs w:val="false"/>
                <w:color w:val="000000"/>
              </w:rPr>
              <w:t xml:space="preserve">29</w:t>
            </w:r>
          </w:p>
        </w:tc>
      </w:tr>
      <w:tr>
        <w:tc>
          <w:tcPr>
            <w:tcW w:type="dxa" w:w="2600"/>
            <w:shd w:fill="FFFFFF" w:val="clear"/>
            <w:tcMar>
              <w:top w:type="dxa" w:w="80"/>
              <w:left w:type="dxa" w:w="100"/>
              <w:bottom w:type="dxa" w:w="80"/>
              <w:right w:type="dxa" w:w="100"/>
            </w:tcMar>
          </w:tcPr>
          <w:p>
            <w:pPr>
              <w:jc w:val="left"/>
            </w:pPr>
            <w:r>
              <w:rPr>
                <w:b w:val="false"/>
                <w:bCs w:val="false"/>
                <w:color w:val="000000"/>
              </w:rPr>
              <w:t xml:space="preserve">Median (50%)</w:t>
            </w:r>
          </w:p>
        </w:tc>
        <w:tc>
          <w:tcPr>
            <w:tcW w:type="dxa" w:w="1650"/>
            <w:shd w:fill="FFFFFF" w:val="clear"/>
            <w:tcMar>
              <w:top w:type="dxa" w:w="80"/>
              <w:left w:type="dxa" w:w="100"/>
              <w:bottom w:type="dxa" w:w="80"/>
              <w:right w:type="dxa" w:w="100"/>
            </w:tcMar>
          </w:tcPr>
          <w:p>
            <w:pPr>
              <w:jc w:val="center"/>
            </w:pPr>
            <w:r>
              <w:rPr>
                <w:b w:val="false"/>
                <w:bCs w:val="false"/>
                <w:color w:val="000000"/>
              </w:rPr>
              <w:t xml:space="preserve">805.15</w:t>
            </w:r>
          </w:p>
        </w:tc>
        <w:tc>
          <w:tcPr>
            <w:tcW w:type="dxa" w:w="1650"/>
            <w:shd w:fill="FFFFFF" w:val="clear"/>
            <w:tcMar>
              <w:top w:type="dxa" w:w="80"/>
              <w:left w:type="dxa" w:w="100"/>
              <w:bottom w:type="dxa" w:w="80"/>
              <w:right w:type="dxa" w:w="100"/>
            </w:tcMar>
          </w:tcPr>
          <w:p>
            <w:pPr>
              <w:jc w:val="center"/>
            </w:pPr>
            <w:r>
              <w:rPr>
                <w:b w:val="false"/>
                <w:bCs w:val="false"/>
                <w:color w:val="000000"/>
              </w:rPr>
              <w:t xml:space="preserve">50</w:t>
            </w:r>
          </w:p>
        </w:tc>
        <w:tc>
          <w:tcPr>
            <w:tcW w:type="dxa" w:w="2100"/>
            <w:shd w:fill="FFFFFF" w:val="clear"/>
            <w:tcMar>
              <w:top w:type="dxa" w:w="80"/>
              <w:left w:type="dxa" w:w="100"/>
              <w:bottom w:type="dxa" w:w="80"/>
              <w:right w:type="dxa" w:w="100"/>
            </w:tcMar>
          </w:tcPr>
          <w:p>
            <w:pPr>
              <w:jc w:val="center"/>
            </w:pPr>
            <w:r>
              <w:rPr>
                <w:b w:val="false"/>
                <w:bCs w:val="false"/>
                <w:color w:val="000000"/>
              </w:rPr>
              <w:t xml:space="preserve">31,868.20</w:t>
            </w:r>
          </w:p>
        </w:tc>
        <w:tc>
          <w:tcPr>
            <w:tcW w:type="dxa" w:w="1600"/>
            <w:shd w:fill="FFFFFF" w:val="clear"/>
            <w:tcMar>
              <w:top w:type="dxa" w:w="80"/>
              <w:left w:type="dxa" w:w="100"/>
              <w:bottom w:type="dxa" w:w="80"/>
              <w:right w:type="dxa" w:w="100"/>
            </w:tcMar>
          </w:tcPr>
          <w:p>
            <w:pPr>
              <w:jc w:val="center"/>
            </w:pPr>
            <w:r>
              <w:rPr>
                <w:b w:val="false"/>
                <w:bCs w:val="false"/>
                <w:color w:val="000000"/>
              </w:rPr>
              <w:t xml:space="preserve">41</w:t>
            </w:r>
          </w:p>
        </w:tc>
      </w:tr>
      <w:tr>
        <w:tc>
          <w:tcPr>
            <w:tcW w:type="dxa" w:w="2600"/>
            <w:shd w:fill="F2F6FA" w:val="clear"/>
            <w:tcMar>
              <w:top w:type="dxa" w:w="80"/>
              <w:left w:type="dxa" w:w="100"/>
              <w:bottom w:type="dxa" w:w="80"/>
              <w:right w:type="dxa" w:w="100"/>
            </w:tcMar>
          </w:tcPr>
          <w:p>
            <w:pPr>
              <w:jc w:val="left"/>
            </w:pPr>
            <w:r>
              <w:rPr>
                <w:b w:val="false"/>
                <w:bCs w:val="false"/>
                <w:color w:val="000000"/>
              </w:rPr>
              <w:t xml:space="preserve">75th percentile</w:t>
            </w:r>
          </w:p>
        </w:tc>
        <w:tc>
          <w:tcPr>
            <w:tcW w:type="dxa" w:w="1650"/>
            <w:shd w:fill="F2F6FA" w:val="clear"/>
            <w:tcMar>
              <w:top w:type="dxa" w:w="80"/>
              <w:left w:type="dxa" w:w="100"/>
              <w:bottom w:type="dxa" w:w="80"/>
              <w:right w:type="dxa" w:w="100"/>
            </w:tcMar>
          </w:tcPr>
          <w:p>
            <w:pPr>
              <w:jc w:val="center"/>
            </w:pPr>
            <w:r>
              <w:rPr>
                <w:b w:val="false"/>
                <w:bCs w:val="false"/>
                <w:color w:val="000000"/>
              </w:rPr>
              <w:t xml:space="preserve">1,157.88</w:t>
            </w:r>
          </w:p>
        </w:tc>
        <w:tc>
          <w:tcPr>
            <w:tcW w:type="dxa" w:w="1650"/>
            <w:shd w:fill="F2F6FA" w:val="clear"/>
            <w:tcMar>
              <w:top w:type="dxa" w:w="80"/>
              <w:left w:type="dxa" w:w="100"/>
              <w:bottom w:type="dxa" w:w="80"/>
              <w:right w:type="dxa" w:w="100"/>
            </w:tcMar>
          </w:tcPr>
          <w:p>
            <w:pPr>
              <w:jc w:val="center"/>
            </w:pPr>
            <w:r>
              <w:rPr>
                <w:b w:val="false"/>
                <w:bCs w:val="false"/>
                <w:color w:val="000000"/>
              </w:rPr>
              <w:t xml:space="preserve">75</w:t>
            </w:r>
          </w:p>
        </w:tc>
        <w:tc>
          <w:tcPr>
            <w:tcW w:type="dxa" w:w="2100"/>
            <w:shd w:fill="F2F6FA" w:val="clear"/>
            <w:tcMar>
              <w:top w:type="dxa" w:w="80"/>
              <w:left w:type="dxa" w:w="100"/>
              <w:bottom w:type="dxa" w:w="80"/>
              <w:right w:type="dxa" w:w="100"/>
            </w:tcMar>
          </w:tcPr>
          <w:p>
            <w:pPr>
              <w:jc w:val="center"/>
            </w:pPr>
            <w:r>
              <w:rPr>
                <w:b w:val="false"/>
                <w:bCs w:val="false"/>
                <w:color w:val="000000"/>
              </w:rPr>
              <w:t xml:space="preserve">60,770.44</w:t>
            </w:r>
          </w:p>
        </w:tc>
        <w:tc>
          <w:tcPr>
            <w:tcW w:type="dxa" w:w="1600"/>
            <w:shd w:fill="F2F6FA" w:val="clear"/>
            <w:tcMar>
              <w:top w:type="dxa" w:w="80"/>
              <w:left w:type="dxa" w:w="100"/>
              <w:bottom w:type="dxa" w:w="80"/>
              <w:right w:type="dxa" w:w="100"/>
            </w:tcMar>
          </w:tcPr>
          <w:p>
            <w:pPr>
              <w:jc w:val="center"/>
            </w:pPr>
            <w:r>
              <w:rPr>
                <w:b w:val="false"/>
                <w:bCs w:val="false"/>
                <w:color w:val="000000"/>
              </w:rPr>
              <w:t xml:space="preserve">53</w:t>
            </w:r>
          </w:p>
        </w:tc>
      </w:tr>
      <w:tr>
        <w:tc>
          <w:tcPr>
            <w:tcW w:type="dxa" w:w="2600"/>
            <w:shd w:fill="FFFFFF" w:val="clear"/>
            <w:tcMar>
              <w:top w:type="dxa" w:w="80"/>
              <w:left w:type="dxa" w:w="100"/>
              <w:bottom w:type="dxa" w:w="80"/>
              <w:right w:type="dxa" w:w="100"/>
            </w:tcMar>
          </w:tcPr>
          <w:p>
            <w:pPr>
              <w:jc w:val="left"/>
            </w:pPr>
            <w:r>
              <w:rPr>
                <w:b w:val="false"/>
                <w:bCs w:val="false"/>
                <w:color w:val="000000"/>
              </w:rPr>
              <w:t xml:space="preserve">Maximum</w:t>
            </w:r>
          </w:p>
        </w:tc>
        <w:tc>
          <w:tcPr>
            <w:tcW w:type="dxa" w:w="1650"/>
            <w:shd w:fill="FFFFFF" w:val="clear"/>
            <w:tcMar>
              <w:top w:type="dxa" w:w="80"/>
              <w:left w:type="dxa" w:w="100"/>
              <w:bottom w:type="dxa" w:w="80"/>
              <w:right w:type="dxa" w:w="100"/>
            </w:tcMar>
          </w:tcPr>
          <w:p>
            <w:pPr>
              <w:jc w:val="center"/>
            </w:pPr>
            <w:r>
              <w:rPr>
                <w:b w:val="false"/>
                <w:bCs w:val="false"/>
                <w:color w:val="000000"/>
              </w:rPr>
              <w:t xml:space="preserve">1,499.25</w:t>
            </w:r>
          </w:p>
        </w:tc>
        <w:tc>
          <w:tcPr>
            <w:tcW w:type="dxa" w:w="1650"/>
            <w:shd w:fill="FFFFFF" w:val="clear"/>
            <w:tcMar>
              <w:top w:type="dxa" w:w="80"/>
              <w:left w:type="dxa" w:w="100"/>
              <w:bottom w:type="dxa" w:w="80"/>
              <w:right w:type="dxa" w:w="100"/>
            </w:tcMar>
          </w:tcPr>
          <w:p>
            <w:pPr>
              <w:jc w:val="center"/>
            </w:pPr>
            <w:r>
              <w:rPr>
                <w:b w:val="false"/>
                <w:bCs w:val="false"/>
                <w:color w:val="000000"/>
              </w:rPr>
              <w:t xml:space="preserve">99</w:t>
            </w:r>
          </w:p>
        </w:tc>
        <w:tc>
          <w:tcPr>
            <w:tcW w:type="dxa" w:w="2100"/>
            <w:shd w:fill="FFFFFF" w:val="clear"/>
            <w:tcMar>
              <w:top w:type="dxa" w:w="80"/>
              <w:left w:type="dxa" w:w="100"/>
              <w:bottom w:type="dxa" w:w="80"/>
              <w:right w:type="dxa" w:w="100"/>
            </w:tcMar>
          </w:tcPr>
          <w:p>
            <w:pPr>
              <w:jc w:val="center"/>
            </w:pPr>
            <w:r>
              <w:rPr>
                <w:b w:val="false"/>
                <w:bCs w:val="false"/>
                <w:color w:val="000000"/>
              </w:rPr>
              <w:t xml:space="preserve">141,411.84</w:t>
            </w:r>
          </w:p>
        </w:tc>
        <w:tc>
          <w:tcPr>
            <w:tcW w:type="dxa" w:w="1600"/>
            <w:shd w:fill="FFFFFF" w:val="clear"/>
            <w:tcMar>
              <w:top w:type="dxa" w:w="80"/>
              <w:left w:type="dxa" w:w="100"/>
              <w:bottom w:type="dxa" w:w="80"/>
              <w:right w:type="dxa" w:w="100"/>
            </w:tcMar>
          </w:tcPr>
          <w:p>
            <w:pPr>
              <w:jc w:val="center"/>
            </w:pPr>
            <w:r>
              <w:rPr>
                <w:b w:val="false"/>
                <w:bCs w:val="false"/>
                <w:color w:val="000000"/>
              </w:rPr>
              <w:t xml:space="preserve">64</w:t>
            </w:r>
          </w:p>
        </w:tc>
      </w:tr>
      <w:tr>
        <w:tc>
          <w:tcPr>
            <w:tcW w:type="dxa" w:w="2600"/>
            <w:shd w:fill="F2F6FA" w:val="clear"/>
            <w:tcMar>
              <w:top w:type="dxa" w:w="80"/>
              <w:left w:type="dxa" w:w="100"/>
              <w:bottom w:type="dxa" w:w="80"/>
              <w:right w:type="dxa" w:w="100"/>
            </w:tcMar>
          </w:tcPr>
          <w:p>
            <w:pPr>
              <w:jc w:val="left"/>
            </w:pPr>
            <w:r>
              <w:rPr>
                <w:b w:val="false"/>
                <w:bCs w:val="false"/>
                <w:color w:val="000000"/>
              </w:rPr>
              <w:t xml:space="preserve">Skewness</w:t>
            </w:r>
          </w:p>
        </w:tc>
        <w:tc>
          <w:tcPr>
            <w:tcW w:type="dxa" w:w="1650"/>
            <w:shd w:fill="F2F6FA" w:val="clear"/>
            <w:tcMar>
              <w:top w:type="dxa" w:w="80"/>
              <w:left w:type="dxa" w:w="100"/>
              <w:bottom w:type="dxa" w:w="80"/>
              <w:right w:type="dxa" w:w="100"/>
            </w:tcMar>
          </w:tcPr>
          <w:p>
            <w:pPr>
              <w:jc w:val="center"/>
            </w:pPr>
            <w:r>
              <w:rPr>
                <w:b w:val="false"/>
                <w:bCs w:val="false"/>
                <w:color w:val="000000"/>
              </w:rPr>
              <w:t xml:space="preserve">-0.02</w:t>
            </w:r>
          </w:p>
        </w:tc>
        <w:tc>
          <w:tcPr>
            <w:tcW w:type="dxa" w:w="1650"/>
            <w:shd w:fill="F2F6FA" w:val="clear"/>
            <w:tcMar>
              <w:top w:type="dxa" w:w="80"/>
              <w:left w:type="dxa" w:w="100"/>
              <w:bottom w:type="dxa" w:w="80"/>
              <w:right w:type="dxa" w:w="100"/>
            </w:tcMar>
          </w:tcPr>
          <w:p>
            <w:pPr>
              <w:jc w:val="center"/>
            </w:pPr>
            <w:r>
              <w:rPr>
                <w:b w:val="false"/>
                <w:bCs w:val="false"/>
                <w:color w:val="000000"/>
              </w:rPr>
              <w:t xml:space="preserve">-0.02</w:t>
            </w:r>
          </w:p>
        </w:tc>
        <w:tc>
          <w:tcPr>
            <w:tcW w:type="dxa" w:w="2100"/>
            <w:shd w:fill="F2F6FA" w:val="clear"/>
            <w:tcMar>
              <w:top w:type="dxa" w:w="80"/>
              <w:left w:type="dxa" w:w="100"/>
              <w:bottom w:type="dxa" w:w="80"/>
              <w:right w:type="dxa" w:w="100"/>
            </w:tcMar>
          </w:tcPr>
          <w:p>
            <w:pPr>
              <w:jc w:val="center"/>
            </w:pPr>
            <w:r>
              <w:rPr>
                <w:b w:val="false"/>
                <w:bCs w:val="false"/>
                <w:color w:val="000000"/>
              </w:rPr>
              <w:t xml:space="preserve">0.89</w:t>
            </w:r>
          </w:p>
        </w:tc>
        <w:tc>
          <w:tcPr>
            <w:tcW w:type="dxa" w:w="1600"/>
            <w:shd w:fill="F2F6FA" w:val="clear"/>
            <w:tcMar>
              <w:top w:type="dxa" w:w="80"/>
              <w:left w:type="dxa" w:w="100"/>
              <w:bottom w:type="dxa" w:w="80"/>
              <w:right w:type="dxa" w:w="100"/>
            </w:tcMar>
          </w:tcPr>
          <w:p>
            <w:pPr>
              <w:jc w:val="center"/>
            </w:pPr>
            <w:r>
              <w:rPr>
                <w:b w:val="false"/>
                <w:bCs w:val="false"/>
                <w:color w:val="000000"/>
              </w:rPr>
              <w:t xml:space="preserve">0.01</w:t>
            </w:r>
          </w:p>
        </w:tc>
      </w:tr>
    </w:tbl>
    <w:p>
      <w:pPr>
        <w:spacing w:after="160"/>
      </w:pPr>
      <w:r>
        <w:t xml:space="preserve">Price, UnitsSold, and CustomerAge are all approximately symmetric (skewness close to 0), consistent with values drawn from a uniform-style distribution. TotalRevenue is moderately right-skewed (0.89), i.e. a longer tail of high-revenue transactions.</w:t>
      </w:r>
    </w:p>
    <w:p>
      <w:pPr>
        <w:spacing w:after="80" w:before="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444444"/>
          <w:sz w:val="20"/>
          <w:szCs w:val="20"/>
        </w:rPr>
        <w:t xml:space="preserve">Figure 1: Distribution of unit price across all transactions</w:t>
      </w:r>
    </w:p>
    <w:p>
      <w:pPr>
        <w:pStyle w:val="Heading2"/>
        <w:spacing w:after="140" w:before="280"/>
      </w:pPr>
      <w:r>
        <w:t xml:space="preserve">3.4 Data-Quality Observations</w:t>
      </w:r>
    </w:p>
    <w:p>
      <w:pPr>
        <w:spacing w:after="160"/>
      </w:pPr>
      <w:r>
        <w:t xml:space="preserve">Two important observations emerged during validation and are reported transparently rather than corrected, since altering the raw values would violate the "no alteration to original content" requirement of the secondary-data pathway:</w:t>
      </w:r>
    </w:p>
    <w:p>
      <w:pPr>
        <w:pStyle w:val="ListParagraph"/>
        <w:numPr>
          <w:ilvl w:val="0"/>
          <w:numId w:val="2"/>
        </w:numPr>
        <w:spacing w:after="80"/>
      </w:pPr>
      <w:r>
        <w:t xml:space="preserve">TotalRevenue is not equal to Price × UnitsSold for virtually any transaction (mean absolute difference between the two is large and non-trivial). This indicates TotalRevenue was generated independently of Price and UnitsSold in this synthetic dataset. All revenue-based analysis in this report therefore uses the TotalRevenue column as the authoritative revenue figure, and does not attempt to reconcile it against Price × UnitsSold.</w:t>
      </w:r>
    </w:p>
    <w:p>
      <w:pPr>
        <w:pStyle w:val="ListParagraph"/>
        <w:numPr>
          <w:ilvl w:val="0"/>
          <w:numId w:val="2"/>
        </w:numPr>
        <w:spacing w:after="80"/>
      </w:pPr>
      <w:r>
        <w:t xml:space="preserve">MobileModel, Brand, and Location contain randomly generated placeholder text (e.g. brand values such as "Green Inc", "Thomas-Thompson"; model values such as "direction", "right", "summer") rather than real device models, brand names, or cities — 980 of 1,000 Brand values and 963 of 1,000 Location values are unique, confirming these fields carry no genuine repeated category structure. Brand/model/location-level analysis has therefore been excluded from this report; the analysis instead focuses on Date, Price, UnitsSold, TotalRevenue, CustomerAge, CustomerGender, and PaymentMethod, all of which are analytically meaningful.</w:t>
      </w:r>
    </w:p>
    <w:p>
      <w:pPr>
        <w:pStyle w:val="ListParagraph"/>
        <w:numPr>
          <w:ilvl w:val="0"/>
          <w:numId w:val="2"/>
        </w:numPr>
        <w:spacing w:after="80"/>
      </w:pPr>
      <w:r>
        <w:t xml:space="preserve">July 2024 contains only 128 transactions covering 25 calendar days, versus 139–159 transactions across 28–31 days for the other six months. This partial-month coverage is treated as a key caveat in Section 5's trend analysis rather than being padded or estimated.</w:t>
      </w:r>
    </w:p>
    <w:p>
      <w:pPr>
        <w:pStyle w:val="Heading1"/>
        <w:spacing w:after="200" w:before="400"/>
      </w:pPr>
      <w:r>
        <w:t xml:space="preserve">4. Data Cleaning, Validation and Analysis Methodology</w:t>
      </w:r>
    </w:p>
    <w:p>
      <w:pPr>
        <w:pStyle w:val="Heading2"/>
        <w:spacing w:after="140" w:before="280"/>
      </w:pPr>
      <w:r>
        <w:t xml:space="preserve">4.1 Data Cleaning and Validation Steps</w:t>
      </w:r>
    </w:p>
    <w:p>
      <w:pPr>
        <w:pStyle w:val="ListParagraph"/>
        <w:numPr>
          <w:ilvl w:val="0"/>
          <w:numId w:val="3"/>
        </w:numPr>
        <w:spacing w:after="80"/>
      </w:pPr>
      <w:r>
        <w:t xml:space="preserve">Loaded the raw CSV (1,000 rows × 11 columns) and checked column data types; converted the Date column from text to a proper datetime type and derived a Month (year-month) field for time-based aggregation.</w:t>
      </w:r>
    </w:p>
    <w:p>
      <w:pPr>
        <w:pStyle w:val="ListParagraph"/>
        <w:numPr>
          <w:ilvl w:val="0"/>
          <w:numId w:val="3"/>
        </w:numPr>
        <w:spacing w:after="80"/>
      </w:pPr>
      <w:r>
        <w:t xml:space="preserve">Checked for missing values across all columns — none were found.</w:t>
      </w:r>
    </w:p>
    <w:p>
      <w:pPr>
        <w:pStyle w:val="ListParagraph"/>
        <w:numPr>
          <w:ilvl w:val="0"/>
          <w:numId w:val="3"/>
        </w:numPr>
        <w:spacing w:after="80"/>
      </w:pPr>
      <w:r>
        <w:t xml:space="preserve">Checked for fully duplicated rows and duplicate TransactionID values — none were found, confirming each row represents a distinct transaction.</w:t>
      </w:r>
    </w:p>
    <w:p>
      <w:pPr>
        <w:pStyle w:val="ListParagraph"/>
        <w:numPr>
          <w:ilvl w:val="0"/>
          <w:numId w:val="3"/>
        </w:numPr>
        <w:spacing w:after="80"/>
      </w:pPr>
      <w:r>
        <w:t xml:space="preserve">Performed range/sanity checks on Price (₹103.32–₹1,499.25), UnitsSold (1–99), and CustomerAge (18–64) — all values fall within plausible real-world bounds.</w:t>
      </w:r>
    </w:p>
    <w:p>
      <w:pPr>
        <w:pStyle w:val="ListParagraph"/>
        <w:numPr>
          <w:ilvl w:val="0"/>
          <w:numId w:val="3"/>
        </w:numPr>
        <w:spacing w:after="80"/>
      </w:pPr>
      <w:r>
        <w:t xml:space="preserve">Applied the IQR (interquartile range) method to screen for outliers in Price, UnitsSold, TotalRevenue and CustomerAge. Only TotalRevenue showed a small number of statistical outliers (6 of 1,000 transactions above the upper IQR bound); these were retained as valid high-value transactions rather than removed, since there was no evidence of a data-entry error.</w:t>
      </w:r>
    </w:p>
    <w:p>
      <w:pPr>
        <w:pStyle w:val="ListParagraph"/>
        <w:numPr>
          <w:ilvl w:val="0"/>
          <w:numId w:val="3"/>
        </w:numPr>
        <w:spacing w:after="80"/>
      </w:pPr>
      <w:r>
        <w:t xml:space="preserve">Cross-validated TotalRevenue against Price × UnitsSold, which surfaced the data-quality note in Section 3.4.</w:t>
      </w:r>
    </w:p>
    <w:p>
      <w:pPr>
        <w:pStyle w:val="ListParagraph"/>
        <w:numPr>
          <w:ilvl w:val="0"/>
          <w:numId w:val="3"/>
        </w:numPr>
        <w:spacing w:after="80"/>
      </w:pPr>
      <w:r>
        <w:t xml:space="preserve">Created two derived fields for segmentation: an AgeGroup bucket (18–27, 28–37, 38–47, 48–57, 58–65) and a Month string, used throughout the trend and demographic analysis.</w:t>
      </w:r>
    </w:p>
    <w:p>
      <w:pPr>
        <w:pStyle w:val="Heading2"/>
        <w:spacing w:after="140" w:before="280"/>
      </w:pPr>
      <w:r>
        <w:t xml:space="preserve">4.2 Analysis Approach</w:t>
      </w:r>
    </w:p>
    <w:p>
      <w:pPr>
        <w:spacing w:after="160"/>
      </w:pPr>
      <w:r>
        <w:t xml:space="preserve">The analysis was carried out in three stages, using Python (Pandas for data manipulation, Matplotlib/Seaborn for visualisation) in a Google Colab notebook, with pivot-table cross-checks performed for the channel and demographic breakdowns:</w:t>
      </w:r>
    </w:p>
    <w:p>
      <w:pPr>
        <w:pStyle w:val="ListParagraph"/>
        <w:numPr>
          <w:ilvl w:val="0"/>
          <w:numId w:val="2"/>
        </w:numPr>
        <w:spacing w:after="80"/>
      </w:pPr>
      <w:r>
        <w:t xml:space="preserve">Stage 1 — Time-series trend analysis: monthly aggregation of revenue, units sold and transaction count from January to July 2024, examined via line and bar charts to quantify the rate and consistency of the revenue decline, and explicitly checked against each month's data-coverage (number of days/transactions) to separate a genuine trend from a coverage artifact.</w:t>
      </w:r>
    </w:p>
    <w:p>
      <w:pPr>
        <w:pStyle w:val="ListParagraph"/>
        <w:numPr>
          <w:ilvl w:val="0"/>
          <w:numId w:val="2"/>
        </w:numPr>
        <w:spacing w:after="80"/>
      </w:pPr>
      <w:r>
        <w:t xml:space="preserve">Stage 2 — Channel-wise contribution analysis: revenue, transaction count, revenue share, and month-on-month percentage change computed for each of the four PaymentMethod categories (Online, Credit Card, Debit Card, Cash), to identify which channels are growing, shrinking, or stable, and which contribute disproportionately relative to their transaction share.</w:t>
      </w:r>
    </w:p>
    <w:p>
      <w:pPr>
        <w:pStyle w:val="ListParagraph"/>
        <w:numPr>
          <w:ilvl w:val="0"/>
          <w:numId w:val="2"/>
        </w:numPr>
        <w:spacing w:after="80"/>
      </w:pPr>
      <w:r>
        <w:t xml:space="preserve">Stage 3 — Customer segmentation analysis: customers bucketed into five age groups and three gender categories; revenue, transaction count and average spend computed per segment, together with a correlation analysis across Price, UnitsSold, TotalRevenue and CustomerAge to check for any distinct purchasing pattern by segment.</w:t>
      </w:r>
    </w:p>
    <w:p>
      <w:pPr>
        <w:pStyle w:val="Heading2"/>
        <w:spacing w:after="140" w:before="280"/>
      </w:pPr>
      <w:r>
        <w:t xml:space="preserve">4.3 Tools Used</w:t>
      </w:r>
    </w:p>
    <w:p>
      <w:pPr>
        <w:pStyle w:val="ListParagraph"/>
        <w:numPr>
          <w:ilvl w:val="0"/>
          <w:numId w:val="2"/>
        </w:numPr>
        <w:spacing w:after="80"/>
      </w:pPr>
      <w:r>
        <w:t xml:space="preserve">Python 3 (Google Colab / Jupyter notebook) — primary environment for all cleaning, aggregation and analysis</w:t>
      </w:r>
    </w:p>
    <w:p>
      <w:pPr>
        <w:pStyle w:val="ListParagraph"/>
        <w:numPr>
          <w:ilvl w:val="0"/>
          <w:numId w:val="2"/>
        </w:numPr>
        <w:spacing w:after="80"/>
      </w:pPr>
      <w:r>
        <w:t xml:space="preserve">Pandas — data loading, type conversion, grouping/aggregation, pivot tables</w:t>
      </w:r>
    </w:p>
    <w:p>
      <w:pPr>
        <w:pStyle w:val="ListParagraph"/>
        <w:numPr>
          <w:ilvl w:val="0"/>
          <w:numId w:val="2"/>
        </w:numPr>
        <w:spacing w:after="80"/>
      </w:pPr>
      <w:r>
        <w:t xml:space="preserve">Matplotlib and Seaborn — line charts, bar charts, pie chart, box plot, heatmaps</w:t>
      </w:r>
    </w:p>
    <w:p>
      <w:pPr>
        <w:pStyle w:val="ListParagraph"/>
        <w:numPr>
          <w:ilvl w:val="0"/>
          <w:numId w:val="2"/>
        </w:numPr>
        <w:spacing w:after="80"/>
      </w:pPr>
      <w:r>
        <w:t xml:space="preserve">Descriptive statistics (mean, standard deviation, percentiles, skewness) — computed via pandas' describe() and skew() functions, cross-checked with Excel pivot tables for the monthly and channel-wise summaries</w:t>
      </w:r>
    </w:p>
    <w:p>
      <w:pPr>
        <w:pStyle w:val="Heading2"/>
        <w:spacing w:after="140" w:before="280"/>
      </w:pPr>
      <w:r>
        <w:t xml:space="preserve">4.4 Key Formulae Used</w:t>
      </w:r>
    </w:p>
    <w:p>
      <w:pPr>
        <w:pStyle w:val="ListParagraph"/>
        <w:numPr>
          <w:ilvl w:val="0"/>
          <w:numId w:val="2"/>
        </w:numPr>
        <w:spacing w:after="80"/>
      </w:pPr>
      <w:r>
        <w:t xml:space="preserve">Percentage change (period-on-period): ((Value_end − Value_start) / Value_start) × 100 — used for the January-to-July revenue and channel-wise change figures in Section 5</w:t>
      </w:r>
    </w:p>
    <w:p>
      <w:pPr>
        <w:pStyle w:val="ListParagraph"/>
        <w:numPr>
          <w:ilvl w:val="0"/>
          <w:numId w:val="2"/>
        </w:numPr>
        <w:spacing w:after="80"/>
      </w:pPr>
      <w:r>
        <w:t xml:space="preserve">Revenue share of a category: (Category revenue / Total revenue) × 100 — used for channel, age-group and gender contribution tables</w:t>
      </w:r>
    </w:p>
    <w:p>
      <w:pPr>
        <w:pStyle w:val="ListParagraph"/>
        <w:numPr>
          <w:ilvl w:val="0"/>
          <w:numId w:val="2"/>
        </w:numPr>
        <w:spacing w:after="80"/>
      </w:pPr>
      <w:r>
        <w:t xml:space="preserve">Mean: sum of values divided by count (n); Standard deviation: square root of the average squared deviation from the mean — both computed for Price, UnitsSold, TotalRevenue and CustomerAge</w:t>
      </w:r>
    </w:p>
    <w:p>
      <w:pPr>
        <w:pStyle w:val="ListParagraph"/>
        <w:numPr>
          <w:ilvl w:val="0"/>
          <w:numId w:val="2"/>
        </w:numPr>
        <w:spacing w:after="80"/>
      </w:pPr>
      <w:r>
        <w:t xml:space="preserve">Pearson correlation coefficient (r): covariance of two variables divided by the product of their standard deviations, ranging from −1 to +1 — used to test the linear relationship between Price, UnitsSold, TotalRevenue and CustomerAge in Section 5.4</w:t>
      </w:r>
    </w:p>
    <w:p>
      <w:pPr>
        <w:pStyle w:val="ListParagraph"/>
        <w:numPr>
          <w:ilvl w:val="0"/>
          <w:numId w:val="2"/>
        </w:numPr>
        <w:spacing w:after="80"/>
      </w:pPr>
      <w:r>
        <w:t xml:space="preserve">Interquartile Range (IQR) outlier rule: a value is flagged as an outlier if it falls below Q1 − 1.5×IQR or above Q3 + 1.5×IQR, where IQR = Q3 − Q1 — used for the outlier screen in Section 4.1</w:t>
      </w:r>
    </w:p>
    <w:p>
      <w:pPr>
        <w:pStyle w:val="Heading1"/>
        <w:spacing w:after="200" w:before="400"/>
      </w:pPr>
      <w:r>
        <w:t xml:space="preserve">5. Results and Findings</w:t>
      </w:r>
    </w:p>
    <w:p>
      <w:pPr>
        <w:pStyle w:val="Heading2"/>
        <w:spacing w:after="140" w:before="280"/>
      </w:pPr>
      <w:r>
        <w:t xml:space="preserve">5.1 Monthly Sales and Revenue Trend</w:t>
      </w:r>
    </w:p>
    <w:tbl>
      <w:tblPr>
        <w:tblW w:type="dxa" w:w="8900"/>
        <w:tblBorders>
          <w:top w:val="single" w:color="B7C6D9" w:sz="4"/>
          <w:left w:val="single" w:color="B7C6D9" w:sz="4"/>
          <w:bottom w:val="single" w:color="B7C6D9" w:sz="4"/>
          <w:right w:val="single" w:color="B7C6D9" w:sz="4"/>
          <w:insideH w:val="single" w:color="D6E0EA" w:sz="2"/>
          <w:insideV w:val="single" w:color="D6E0EA" w:sz="2"/>
        </w:tblBorders>
      </w:tblPr>
      <w:tblGrid>
        <w:gridCol w:w="1600"/>
        <w:gridCol w:w="2000"/>
        <w:gridCol w:w="1700"/>
        <w:gridCol w:w="1900"/>
        <w:gridCol w:w="1700"/>
      </w:tblGrid>
      <w:tr>
        <w:trPr>
          <w:tblHeader/>
        </w:trPr>
        <w:tc>
          <w:tcPr>
            <w:tcW w:type="dxa" w:w="1600"/>
            <w:shd w:fill="1F4E79" w:val="clear"/>
            <w:tcMar>
              <w:top w:type="dxa" w:w="80"/>
              <w:left w:type="dxa" w:w="100"/>
              <w:bottom w:type="dxa" w:w="80"/>
              <w:right w:type="dxa" w:w="100"/>
            </w:tcMar>
          </w:tcPr>
          <w:p>
            <w:pPr>
              <w:jc w:val="center"/>
            </w:pPr>
            <w:r>
              <w:rPr>
                <w:b/>
                <w:bCs/>
                <w:color w:val="FFFFFF"/>
              </w:rPr>
              <w:t xml:space="preserve">Month</w:t>
            </w:r>
          </w:p>
        </w:tc>
        <w:tc>
          <w:tcPr>
            <w:tcW w:type="dxa" w:w="2000"/>
            <w:shd w:fill="1F4E79" w:val="clear"/>
            <w:tcMar>
              <w:top w:type="dxa" w:w="80"/>
              <w:left w:type="dxa" w:w="100"/>
              <w:bottom w:type="dxa" w:w="80"/>
              <w:right w:type="dxa" w:w="100"/>
            </w:tcMar>
          </w:tcPr>
          <w:p>
            <w:pPr>
              <w:jc w:val="center"/>
            </w:pPr>
            <w:r>
              <w:rPr>
                <w:b/>
                <w:bCs/>
                <w:color w:val="FFFFFF"/>
              </w:rPr>
              <w:t xml:space="preserve">Revenue (₹ Lakh)</w:t>
            </w:r>
          </w:p>
        </w:tc>
        <w:tc>
          <w:tcPr>
            <w:tcW w:type="dxa" w:w="1700"/>
            <w:shd w:fill="1F4E79" w:val="clear"/>
            <w:tcMar>
              <w:top w:type="dxa" w:w="80"/>
              <w:left w:type="dxa" w:w="100"/>
              <w:bottom w:type="dxa" w:w="80"/>
              <w:right w:type="dxa" w:w="100"/>
            </w:tcMar>
          </w:tcPr>
          <w:p>
            <w:pPr>
              <w:jc w:val="center"/>
            </w:pPr>
            <w:r>
              <w:rPr>
                <w:b/>
                <w:bCs/>
                <w:color w:val="FFFFFF"/>
              </w:rPr>
              <w:t xml:space="preserve">Units Sold</w:t>
            </w:r>
          </w:p>
        </w:tc>
        <w:tc>
          <w:tcPr>
            <w:tcW w:type="dxa" w:w="1900"/>
            <w:shd w:fill="1F4E79" w:val="clear"/>
            <w:tcMar>
              <w:top w:type="dxa" w:w="80"/>
              <w:left w:type="dxa" w:w="100"/>
              <w:bottom w:type="dxa" w:w="80"/>
              <w:right w:type="dxa" w:w="100"/>
            </w:tcMar>
          </w:tcPr>
          <w:p>
            <w:pPr>
              <w:jc w:val="center"/>
            </w:pPr>
            <w:r>
              <w:rPr>
                <w:b/>
                <w:bCs/>
                <w:color w:val="FFFFFF"/>
              </w:rPr>
              <w:t xml:space="preserve">Transactions</w:t>
            </w:r>
          </w:p>
        </w:tc>
        <w:tc>
          <w:tcPr>
            <w:tcW w:type="dxa" w:w="1700"/>
            <w:shd w:fill="1F4E79" w:val="clear"/>
            <w:tcMar>
              <w:top w:type="dxa" w:w="80"/>
              <w:left w:type="dxa" w:w="100"/>
              <w:bottom w:type="dxa" w:w="80"/>
              <w:right w:type="dxa" w:w="100"/>
            </w:tcMar>
          </w:tcPr>
          <w:p>
            <w:pPr>
              <w:jc w:val="center"/>
            </w:pPr>
            <w:r>
              <w:rPr>
                <w:b/>
                <w:bCs/>
                <w:color w:val="FFFFFF"/>
              </w:rPr>
              <w:t xml:space="preserve">Avg. Price (₹)</w:t>
            </w:r>
          </w:p>
        </w:tc>
      </w:tr>
      <w:tr>
        <w:tc>
          <w:tcPr>
            <w:tcW w:type="dxa" w:w="1600"/>
            <w:shd w:fill="F2F6FA" w:val="clear"/>
            <w:tcMar>
              <w:top w:type="dxa" w:w="80"/>
              <w:left w:type="dxa" w:w="100"/>
              <w:bottom w:type="dxa" w:w="80"/>
              <w:right w:type="dxa" w:w="100"/>
            </w:tcMar>
          </w:tcPr>
          <w:p>
            <w:pPr>
              <w:jc w:val="left"/>
            </w:pPr>
            <w:r>
              <w:rPr>
                <w:b w:val="false"/>
                <w:bCs w:val="false"/>
                <w:color w:val="000000"/>
              </w:rPr>
              <w:t xml:space="preserve">Jan 2024</w:t>
            </w:r>
          </w:p>
        </w:tc>
        <w:tc>
          <w:tcPr>
            <w:tcW w:type="dxa" w:w="2000"/>
            <w:shd w:fill="F2F6FA" w:val="clear"/>
            <w:tcMar>
              <w:top w:type="dxa" w:w="80"/>
              <w:left w:type="dxa" w:w="100"/>
              <w:bottom w:type="dxa" w:w="80"/>
              <w:right w:type="dxa" w:w="100"/>
            </w:tcMar>
          </w:tcPr>
          <w:p>
            <w:pPr>
              <w:jc w:val="center"/>
            </w:pPr>
            <w:r>
              <w:rPr>
                <w:b w:val="false"/>
                <w:bCs w:val="false"/>
                <w:color w:val="000000"/>
              </w:rPr>
              <w:t xml:space="preserve">62.56</w:t>
            </w:r>
          </w:p>
        </w:tc>
        <w:tc>
          <w:tcPr>
            <w:tcW w:type="dxa" w:w="1700"/>
            <w:shd w:fill="F2F6FA" w:val="clear"/>
            <w:tcMar>
              <w:top w:type="dxa" w:w="80"/>
              <w:left w:type="dxa" w:w="100"/>
              <w:bottom w:type="dxa" w:w="80"/>
              <w:right w:type="dxa" w:w="100"/>
            </w:tcMar>
          </w:tcPr>
          <w:p>
            <w:pPr>
              <w:jc w:val="center"/>
            </w:pPr>
            <w:r>
              <w:rPr>
                <w:b w:val="false"/>
                <w:bCs w:val="false"/>
                <w:color w:val="000000"/>
              </w:rPr>
              <w:t xml:space="preserve">7,818</w:t>
            </w:r>
          </w:p>
        </w:tc>
        <w:tc>
          <w:tcPr>
            <w:tcW w:type="dxa" w:w="1900"/>
            <w:shd w:fill="F2F6FA" w:val="clear"/>
            <w:tcMar>
              <w:top w:type="dxa" w:w="80"/>
              <w:left w:type="dxa" w:w="100"/>
              <w:bottom w:type="dxa" w:w="80"/>
              <w:right w:type="dxa" w:w="100"/>
            </w:tcMar>
          </w:tcPr>
          <w:p>
            <w:pPr>
              <w:jc w:val="center"/>
            </w:pPr>
            <w:r>
              <w:rPr>
                <w:b w:val="false"/>
                <w:bCs w:val="false"/>
                <w:color w:val="000000"/>
              </w:rPr>
              <w:t xml:space="preserve">159</w:t>
            </w:r>
          </w:p>
        </w:tc>
        <w:tc>
          <w:tcPr>
            <w:tcW w:type="dxa" w:w="1700"/>
            <w:shd w:fill="F2F6FA" w:val="clear"/>
            <w:tcMar>
              <w:top w:type="dxa" w:w="80"/>
              <w:left w:type="dxa" w:w="100"/>
              <w:bottom w:type="dxa" w:w="80"/>
              <w:right w:type="dxa" w:w="100"/>
            </w:tcMar>
          </w:tcPr>
          <w:p>
            <w:pPr>
              <w:jc w:val="center"/>
            </w:pPr>
            <w:r>
              <w:rPr>
                <w:b w:val="false"/>
                <w:bCs w:val="false"/>
                <w:color w:val="000000"/>
              </w:rPr>
              <w:t xml:space="preserve">870.70</w:t>
            </w:r>
          </w:p>
        </w:tc>
      </w:tr>
      <w:tr>
        <w:tc>
          <w:tcPr>
            <w:tcW w:type="dxa" w:w="1600"/>
            <w:shd w:fill="FFFFFF" w:val="clear"/>
            <w:tcMar>
              <w:top w:type="dxa" w:w="80"/>
              <w:left w:type="dxa" w:w="100"/>
              <w:bottom w:type="dxa" w:w="80"/>
              <w:right w:type="dxa" w:w="100"/>
            </w:tcMar>
          </w:tcPr>
          <w:p>
            <w:pPr>
              <w:jc w:val="left"/>
            </w:pPr>
            <w:r>
              <w:rPr>
                <w:b w:val="false"/>
                <w:bCs w:val="false"/>
                <w:color w:val="000000"/>
              </w:rPr>
              <w:t xml:space="preserve">Feb 2024</w:t>
            </w:r>
          </w:p>
        </w:tc>
        <w:tc>
          <w:tcPr>
            <w:tcW w:type="dxa" w:w="2000"/>
            <w:shd w:fill="FFFFFF" w:val="clear"/>
            <w:tcMar>
              <w:top w:type="dxa" w:w="80"/>
              <w:left w:type="dxa" w:w="100"/>
              <w:bottom w:type="dxa" w:w="80"/>
              <w:right w:type="dxa" w:w="100"/>
            </w:tcMar>
          </w:tcPr>
          <w:p>
            <w:pPr>
              <w:jc w:val="center"/>
            </w:pPr>
            <w:r>
              <w:rPr>
                <w:b w:val="false"/>
                <w:bCs w:val="false"/>
                <w:color w:val="000000"/>
              </w:rPr>
              <w:t xml:space="preserve">59.21</w:t>
            </w:r>
          </w:p>
        </w:tc>
        <w:tc>
          <w:tcPr>
            <w:tcW w:type="dxa" w:w="1700"/>
            <w:shd w:fill="FFFFFF" w:val="clear"/>
            <w:tcMar>
              <w:top w:type="dxa" w:w="80"/>
              <w:left w:type="dxa" w:w="100"/>
              <w:bottom w:type="dxa" w:w="80"/>
              <w:right w:type="dxa" w:w="100"/>
            </w:tcMar>
          </w:tcPr>
          <w:p>
            <w:pPr>
              <w:jc w:val="center"/>
            </w:pPr>
            <w:r>
              <w:rPr>
                <w:b w:val="false"/>
                <w:bCs w:val="false"/>
                <w:color w:val="000000"/>
              </w:rPr>
              <w:t xml:space="preserve">6,729</w:t>
            </w:r>
          </w:p>
        </w:tc>
        <w:tc>
          <w:tcPr>
            <w:tcW w:type="dxa" w:w="1900"/>
            <w:shd w:fill="FFFFFF" w:val="clear"/>
            <w:tcMar>
              <w:top w:type="dxa" w:w="80"/>
              <w:left w:type="dxa" w:w="100"/>
              <w:bottom w:type="dxa" w:w="80"/>
              <w:right w:type="dxa" w:w="100"/>
            </w:tcMar>
          </w:tcPr>
          <w:p>
            <w:pPr>
              <w:jc w:val="center"/>
            </w:pPr>
            <w:r>
              <w:rPr>
                <w:b w:val="false"/>
                <w:bCs w:val="false"/>
                <w:color w:val="000000"/>
              </w:rPr>
              <w:t xml:space="preserve">144</w:t>
            </w:r>
          </w:p>
        </w:tc>
        <w:tc>
          <w:tcPr>
            <w:tcW w:type="dxa" w:w="1700"/>
            <w:shd w:fill="FFFFFF" w:val="clear"/>
            <w:tcMar>
              <w:top w:type="dxa" w:w="80"/>
              <w:left w:type="dxa" w:w="100"/>
              <w:bottom w:type="dxa" w:w="80"/>
              <w:right w:type="dxa" w:w="100"/>
            </w:tcMar>
          </w:tcPr>
          <w:p>
            <w:pPr>
              <w:jc w:val="center"/>
            </w:pPr>
            <w:r>
              <w:rPr>
                <w:b w:val="false"/>
                <w:bCs w:val="false"/>
                <w:color w:val="000000"/>
              </w:rPr>
              <w:t xml:space="preserve">807.78</w:t>
            </w:r>
          </w:p>
        </w:tc>
      </w:tr>
      <w:tr>
        <w:tc>
          <w:tcPr>
            <w:tcW w:type="dxa" w:w="1600"/>
            <w:shd w:fill="F2F6FA" w:val="clear"/>
            <w:tcMar>
              <w:top w:type="dxa" w:w="80"/>
              <w:left w:type="dxa" w:w="100"/>
              <w:bottom w:type="dxa" w:w="80"/>
              <w:right w:type="dxa" w:w="100"/>
            </w:tcMar>
          </w:tcPr>
          <w:p>
            <w:pPr>
              <w:jc w:val="left"/>
            </w:pPr>
            <w:r>
              <w:rPr>
                <w:b w:val="false"/>
                <w:bCs w:val="false"/>
                <w:color w:val="000000"/>
              </w:rPr>
              <w:t xml:space="preserve">Mar 2024</w:t>
            </w:r>
          </w:p>
        </w:tc>
        <w:tc>
          <w:tcPr>
            <w:tcW w:type="dxa" w:w="2000"/>
            <w:shd w:fill="F2F6FA" w:val="clear"/>
            <w:tcMar>
              <w:top w:type="dxa" w:w="80"/>
              <w:left w:type="dxa" w:w="100"/>
              <w:bottom w:type="dxa" w:w="80"/>
              <w:right w:type="dxa" w:w="100"/>
            </w:tcMar>
          </w:tcPr>
          <w:p>
            <w:pPr>
              <w:jc w:val="center"/>
            </w:pPr>
            <w:r>
              <w:rPr>
                <w:b w:val="false"/>
                <w:bCs w:val="false"/>
                <w:color w:val="000000"/>
              </w:rPr>
              <w:t xml:space="preserve">59.46</w:t>
            </w:r>
          </w:p>
        </w:tc>
        <w:tc>
          <w:tcPr>
            <w:tcW w:type="dxa" w:w="1700"/>
            <w:shd w:fill="F2F6FA" w:val="clear"/>
            <w:tcMar>
              <w:top w:type="dxa" w:w="80"/>
              <w:left w:type="dxa" w:w="100"/>
              <w:bottom w:type="dxa" w:w="80"/>
              <w:right w:type="dxa" w:w="100"/>
            </w:tcMar>
          </w:tcPr>
          <w:p>
            <w:pPr>
              <w:jc w:val="center"/>
            </w:pPr>
            <w:r>
              <w:rPr>
                <w:b w:val="false"/>
                <w:bCs w:val="false"/>
                <w:color w:val="000000"/>
              </w:rPr>
              <w:t xml:space="preserve">7,380</w:t>
            </w:r>
          </w:p>
        </w:tc>
        <w:tc>
          <w:tcPr>
            <w:tcW w:type="dxa" w:w="1900"/>
            <w:shd w:fill="F2F6FA" w:val="clear"/>
            <w:tcMar>
              <w:top w:type="dxa" w:w="80"/>
              <w:left w:type="dxa" w:w="100"/>
              <w:bottom w:type="dxa" w:w="80"/>
              <w:right w:type="dxa" w:w="100"/>
            </w:tcMar>
          </w:tcPr>
          <w:p>
            <w:pPr>
              <w:jc w:val="center"/>
            </w:pPr>
            <w:r>
              <w:rPr>
                <w:b w:val="false"/>
                <w:bCs w:val="false"/>
                <w:color w:val="000000"/>
              </w:rPr>
              <w:t xml:space="preserve">142</w:t>
            </w:r>
          </w:p>
        </w:tc>
        <w:tc>
          <w:tcPr>
            <w:tcW w:type="dxa" w:w="1700"/>
            <w:shd w:fill="F2F6FA" w:val="clear"/>
            <w:tcMar>
              <w:top w:type="dxa" w:w="80"/>
              <w:left w:type="dxa" w:w="100"/>
              <w:bottom w:type="dxa" w:w="80"/>
              <w:right w:type="dxa" w:w="100"/>
            </w:tcMar>
          </w:tcPr>
          <w:p>
            <w:pPr>
              <w:jc w:val="center"/>
            </w:pPr>
            <w:r>
              <w:rPr>
                <w:b w:val="false"/>
                <w:bCs w:val="false"/>
                <w:color w:val="000000"/>
              </w:rPr>
              <w:t xml:space="preserve">757.33</w:t>
            </w:r>
          </w:p>
        </w:tc>
      </w:tr>
      <w:tr>
        <w:tc>
          <w:tcPr>
            <w:tcW w:type="dxa" w:w="1600"/>
            <w:shd w:fill="FFFFFF" w:val="clear"/>
            <w:tcMar>
              <w:top w:type="dxa" w:w="80"/>
              <w:left w:type="dxa" w:w="100"/>
              <w:bottom w:type="dxa" w:w="80"/>
              <w:right w:type="dxa" w:w="100"/>
            </w:tcMar>
          </w:tcPr>
          <w:p>
            <w:pPr>
              <w:jc w:val="left"/>
            </w:pPr>
            <w:r>
              <w:rPr>
                <w:b w:val="false"/>
                <w:bCs w:val="false"/>
                <w:color w:val="000000"/>
              </w:rPr>
              <w:t xml:space="preserve">Apr 2024</w:t>
            </w:r>
          </w:p>
        </w:tc>
        <w:tc>
          <w:tcPr>
            <w:tcW w:type="dxa" w:w="2000"/>
            <w:shd w:fill="FFFFFF" w:val="clear"/>
            <w:tcMar>
              <w:top w:type="dxa" w:w="80"/>
              <w:left w:type="dxa" w:w="100"/>
              <w:bottom w:type="dxa" w:w="80"/>
              <w:right w:type="dxa" w:w="100"/>
            </w:tcMar>
          </w:tcPr>
          <w:p>
            <w:pPr>
              <w:jc w:val="center"/>
            </w:pPr>
            <w:r>
              <w:rPr>
                <w:b w:val="false"/>
                <w:bCs w:val="false"/>
                <w:color w:val="000000"/>
              </w:rPr>
              <w:t xml:space="preserve">54.24</w:t>
            </w:r>
          </w:p>
        </w:tc>
        <w:tc>
          <w:tcPr>
            <w:tcW w:type="dxa" w:w="1700"/>
            <w:shd w:fill="FFFFFF" w:val="clear"/>
            <w:tcMar>
              <w:top w:type="dxa" w:w="80"/>
              <w:left w:type="dxa" w:w="100"/>
              <w:bottom w:type="dxa" w:w="80"/>
              <w:right w:type="dxa" w:w="100"/>
            </w:tcMar>
          </w:tcPr>
          <w:p>
            <w:pPr>
              <w:jc w:val="center"/>
            </w:pPr>
            <w:r>
              <w:rPr>
                <w:b w:val="false"/>
                <w:bCs w:val="false"/>
                <w:color w:val="000000"/>
              </w:rPr>
              <w:t xml:space="preserve">7,697</w:t>
            </w:r>
          </w:p>
        </w:tc>
        <w:tc>
          <w:tcPr>
            <w:tcW w:type="dxa" w:w="1900"/>
            <w:shd w:fill="FFFFFF" w:val="clear"/>
            <w:tcMar>
              <w:top w:type="dxa" w:w="80"/>
              <w:left w:type="dxa" w:w="100"/>
              <w:bottom w:type="dxa" w:w="80"/>
              <w:right w:type="dxa" w:w="100"/>
            </w:tcMar>
          </w:tcPr>
          <w:p>
            <w:pPr>
              <w:jc w:val="center"/>
            </w:pPr>
            <w:r>
              <w:rPr>
                <w:b w:val="false"/>
                <w:bCs w:val="false"/>
                <w:color w:val="000000"/>
              </w:rPr>
              <w:t xml:space="preserve">139</w:t>
            </w:r>
          </w:p>
        </w:tc>
        <w:tc>
          <w:tcPr>
            <w:tcW w:type="dxa" w:w="1700"/>
            <w:shd w:fill="FFFFFF" w:val="clear"/>
            <w:tcMar>
              <w:top w:type="dxa" w:w="80"/>
              <w:left w:type="dxa" w:w="100"/>
              <w:bottom w:type="dxa" w:w="80"/>
              <w:right w:type="dxa" w:w="100"/>
            </w:tcMar>
          </w:tcPr>
          <w:p>
            <w:pPr>
              <w:jc w:val="center"/>
            </w:pPr>
            <w:r>
              <w:rPr>
                <w:b w:val="false"/>
                <w:bCs w:val="false"/>
                <w:color w:val="000000"/>
              </w:rPr>
              <w:t xml:space="preserve">777.19</w:t>
            </w:r>
          </w:p>
        </w:tc>
      </w:tr>
      <w:tr>
        <w:tc>
          <w:tcPr>
            <w:tcW w:type="dxa" w:w="1600"/>
            <w:shd w:fill="F2F6FA" w:val="clear"/>
            <w:tcMar>
              <w:top w:type="dxa" w:w="80"/>
              <w:left w:type="dxa" w:w="100"/>
              <w:bottom w:type="dxa" w:w="80"/>
              <w:right w:type="dxa" w:w="100"/>
            </w:tcMar>
          </w:tcPr>
          <w:p>
            <w:pPr>
              <w:jc w:val="left"/>
            </w:pPr>
            <w:r>
              <w:rPr>
                <w:b w:val="false"/>
                <w:bCs w:val="false"/>
                <w:color w:val="000000"/>
              </w:rPr>
              <w:t xml:space="preserve">May 2024</w:t>
            </w:r>
          </w:p>
        </w:tc>
        <w:tc>
          <w:tcPr>
            <w:tcW w:type="dxa" w:w="2000"/>
            <w:shd w:fill="F2F6FA" w:val="clear"/>
            <w:tcMar>
              <w:top w:type="dxa" w:w="80"/>
              <w:left w:type="dxa" w:w="100"/>
              <w:bottom w:type="dxa" w:w="80"/>
              <w:right w:type="dxa" w:w="100"/>
            </w:tcMar>
          </w:tcPr>
          <w:p>
            <w:pPr>
              <w:jc w:val="center"/>
            </w:pPr>
            <w:r>
              <w:rPr>
                <w:b w:val="false"/>
                <w:bCs w:val="false"/>
                <w:color w:val="000000"/>
              </w:rPr>
              <w:t xml:space="preserve">56.58</w:t>
            </w:r>
          </w:p>
        </w:tc>
        <w:tc>
          <w:tcPr>
            <w:tcW w:type="dxa" w:w="1700"/>
            <w:shd w:fill="F2F6FA" w:val="clear"/>
            <w:tcMar>
              <w:top w:type="dxa" w:w="80"/>
              <w:left w:type="dxa" w:w="100"/>
              <w:bottom w:type="dxa" w:w="80"/>
              <w:right w:type="dxa" w:w="100"/>
            </w:tcMar>
          </w:tcPr>
          <w:p>
            <w:pPr>
              <w:jc w:val="center"/>
            </w:pPr>
            <w:r>
              <w:rPr>
                <w:b w:val="false"/>
                <w:bCs w:val="false"/>
                <w:color w:val="000000"/>
              </w:rPr>
              <w:t xml:space="preserve">7,268</w:t>
            </w:r>
          </w:p>
        </w:tc>
        <w:tc>
          <w:tcPr>
            <w:tcW w:type="dxa" w:w="1900"/>
            <w:shd w:fill="F2F6FA" w:val="clear"/>
            <w:tcMar>
              <w:top w:type="dxa" w:w="80"/>
              <w:left w:type="dxa" w:w="100"/>
              <w:bottom w:type="dxa" w:w="80"/>
              <w:right w:type="dxa" w:w="100"/>
            </w:tcMar>
          </w:tcPr>
          <w:p>
            <w:pPr>
              <w:jc w:val="center"/>
            </w:pPr>
            <w:r>
              <w:rPr>
                <w:b w:val="false"/>
                <w:bCs w:val="false"/>
                <w:color w:val="000000"/>
              </w:rPr>
              <w:t xml:space="preserve">142</w:t>
            </w:r>
          </w:p>
        </w:tc>
        <w:tc>
          <w:tcPr>
            <w:tcW w:type="dxa" w:w="1700"/>
            <w:shd w:fill="F2F6FA" w:val="clear"/>
            <w:tcMar>
              <w:top w:type="dxa" w:w="80"/>
              <w:left w:type="dxa" w:w="100"/>
              <w:bottom w:type="dxa" w:w="80"/>
              <w:right w:type="dxa" w:w="100"/>
            </w:tcMar>
          </w:tcPr>
          <w:p>
            <w:pPr>
              <w:jc w:val="center"/>
            </w:pPr>
            <w:r>
              <w:rPr>
                <w:b w:val="false"/>
                <w:bCs w:val="false"/>
                <w:color w:val="000000"/>
              </w:rPr>
              <w:t xml:space="preserve">836.03</w:t>
            </w:r>
          </w:p>
        </w:tc>
      </w:tr>
      <w:tr>
        <w:tc>
          <w:tcPr>
            <w:tcW w:type="dxa" w:w="1600"/>
            <w:shd w:fill="FFFFFF" w:val="clear"/>
            <w:tcMar>
              <w:top w:type="dxa" w:w="80"/>
              <w:left w:type="dxa" w:w="100"/>
              <w:bottom w:type="dxa" w:w="80"/>
              <w:right w:type="dxa" w:w="100"/>
            </w:tcMar>
          </w:tcPr>
          <w:p>
            <w:pPr>
              <w:jc w:val="left"/>
            </w:pPr>
            <w:r>
              <w:rPr>
                <w:b w:val="false"/>
                <w:bCs w:val="false"/>
                <w:color w:val="000000"/>
              </w:rPr>
              <w:t xml:space="preserve">Jun 2024</w:t>
            </w:r>
          </w:p>
        </w:tc>
        <w:tc>
          <w:tcPr>
            <w:tcW w:type="dxa" w:w="2000"/>
            <w:shd w:fill="FFFFFF" w:val="clear"/>
            <w:tcMar>
              <w:top w:type="dxa" w:w="80"/>
              <w:left w:type="dxa" w:w="100"/>
              <w:bottom w:type="dxa" w:w="80"/>
              <w:right w:type="dxa" w:w="100"/>
            </w:tcMar>
          </w:tcPr>
          <w:p>
            <w:pPr>
              <w:jc w:val="center"/>
            </w:pPr>
            <w:r>
              <w:rPr>
                <w:b w:val="false"/>
                <w:bCs w:val="false"/>
                <w:color w:val="000000"/>
              </w:rPr>
              <w:t xml:space="preserve">59.63</w:t>
            </w:r>
          </w:p>
        </w:tc>
        <w:tc>
          <w:tcPr>
            <w:tcW w:type="dxa" w:w="1700"/>
            <w:shd w:fill="FFFFFF" w:val="clear"/>
            <w:tcMar>
              <w:top w:type="dxa" w:w="80"/>
              <w:left w:type="dxa" w:w="100"/>
              <w:bottom w:type="dxa" w:w="80"/>
              <w:right w:type="dxa" w:w="100"/>
            </w:tcMar>
          </w:tcPr>
          <w:p>
            <w:pPr>
              <w:jc w:val="center"/>
            </w:pPr>
            <w:r>
              <w:rPr>
                <w:b w:val="false"/>
                <w:bCs w:val="false"/>
                <w:color w:val="000000"/>
              </w:rPr>
              <w:t xml:space="preserve">6,809</w:t>
            </w:r>
          </w:p>
        </w:tc>
        <w:tc>
          <w:tcPr>
            <w:tcW w:type="dxa" w:w="1900"/>
            <w:shd w:fill="FFFFFF" w:val="clear"/>
            <w:tcMar>
              <w:top w:type="dxa" w:w="80"/>
              <w:left w:type="dxa" w:w="100"/>
              <w:bottom w:type="dxa" w:w="80"/>
              <w:right w:type="dxa" w:w="100"/>
            </w:tcMar>
          </w:tcPr>
          <w:p>
            <w:pPr>
              <w:jc w:val="center"/>
            </w:pPr>
            <w:r>
              <w:rPr>
                <w:b w:val="false"/>
                <w:bCs w:val="false"/>
                <w:color w:val="000000"/>
              </w:rPr>
              <w:t xml:space="preserve">146</w:t>
            </w:r>
          </w:p>
        </w:tc>
        <w:tc>
          <w:tcPr>
            <w:tcW w:type="dxa" w:w="1700"/>
            <w:shd w:fill="FFFFFF" w:val="clear"/>
            <w:tcMar>
              <w:top w:type="dxa" w:w="80"/>
              <w:left w:type="dxa" w:w="100"/>
              <w:bottom w:type="dxa" w:w="80"/>
              <w:right w:type="dxa" w:w="100"/>
            </w:tcMar>
          </w:tcPr>
          <w:p>
            <w:pPr>
              <w:jc w:val="center"/>
            </w:pPr>
            <w:r>
              <w:rPr>
                <w:b w:val="false"/>
                <w:bCs w:val="false"/>
                <w:color w:val="000000"/>
              </w:rPr>
              <w:t xml:space="preserve">794.80</w:t>
            </w:r>
          </w:p>
        </w:tc>
      </w:tr>
      <w:tr>
        <w:tc>
          <w:tcPr>
            <w:tcW w:type="dxa" w:w="1600"/>
            <w:shd w:fill="F2F6FA" w:val="clear"/>
            <w:tcMar>
              <w:top w:type="dxa" w:w="80"/>
              <w:left w:type="dxa" w:w="100"/>
              <w:bottom w:type="dxa" w:w="80"/>
              <w:right w:type="dxa" w:w="100"/>
            </w:tcMar>
          </w:tcPr>
          <w:p>
            <w:pPr>
              <w:jc w:val="left"/>
            </w:pPr>
            <w:r>
              <w:rPr>
                <w:b w:val="false"/>
                <w:bCs w:val="false"/>
                <w:color w:val="000000"/>
              </w:rPr>
              <w:t xml:space="preserve">Jul 2024*</w:t>
            </w:r>
          </w:p>
        </w:tc>
        <w:tc>
          <w:tcPr>
            <w:tcW w:type="dxa" w:w="2000"/>
            <w:shd w:fill="F2F6FA" w:val="clear"/>
            <w:tcMar>
              <w:top w:type="dxa" w:w="80"/>
              <w:left w:type="dxa" w:w="100"/>
              <w:bottom w:type="dxa" w:w="80"/>
              <w:right w:type="dxa" w:w="100"/>
            </w:tcMar>
          </w:tcPr>
          <w:p>
            <w:pPr>
              <w:jc w:val="center"/>
            </w:pPr>
            <w:r>
              <w:rPr>
                <w:b w:val="false"/>
                <w:bCs w:val="false"/>
                <w:color w:val="000000"/>
              </w:rPr>
              <w:t xml:space="preserve">50.51</w:t>
            </w:r>
          </w:p>
        </w:tc>
        <w:tc>
          <w:tcPr>
            <w:tcW w:type="dxa" w:w="1700"/>
            <w:shd w:fill="F2F6FA" w:val="clear"/>
            <w:tcMar>
              <w:top w:type="dxa" w:w="80"/>
              <w:left w:type="dxa" w:w="100"/>
              <w:bottom w:type="dxa" w:w="80"/>
              <w:right w:type="dxa" w:w="100"/>
            </w:tcMar>
          </w:tcPr>
          <w:p>
            <w:pPr>
              <w:jc w:val="center"/>
            </w:pPr>
            <w:r>
              <w:rPr>
                <w:b w:val="false"/>
                <w:bCs w:val="false"/>
                <w:color w:val="000000"/>
              </w:rPr>
              <w:t xml:space="preserve">6,373</w:t>
            </w:r>
          </w:p>
        </w:tc>
        <w:tc>
          <w:tcPr>
            <w:tcW w:type="dxa" w:w="1900"/>
            <w:shd w:fill="F2F6FA" w:val="clear"/>
            <w:tcMar>
              <w:top w:type="dxa" w:w="80"/>
              <w:left w:type="dxa" w:w="100"/>
              <w:bottom w:type="dxa" w:w="80"/>
              <w:right w:type="dxa" w:w="100"/>
            </w:tcMar>
          </w:tcPr>
          <w:p>
            <w:pPr>
              <w:jc w:val="center"/>
            </w:pPr>
            <w:r>
              <w:rPr>
                <w:b w:val="false"/>
                <w:bCs w:val="false"/>
                <w:color w:val="000000"/>
              </w:rPr>
              <w:t xml:space="preserve">128</w:t>
            </w:r>
          </w:p>
        </w:tc>
        <w:tc>
          <w:tcPr>
            <w:tcW w:type="dxa" w:w="1700"/>
            <w:shd w:fill="F2F6FA" w:val="clear"/>
            <w:tcMar>
              <w:top w:type="dxa" w:w="80"/>
              <w:left w:type="dxa" w:w="100"/>
              <w:bottom w:type="dxa" w:w="80"/>
              <w:right w:type="dxa" w:w="100"/>
            </w:tcMar>
          </w:tcPr>
          <w:p>
            <w:pPr>
              <w:jc w:val="center"/>
            </w:pPr>
            <w:r>
              <w:rPr>
                <w:b w:val="false"/>
                <w:bCs w:val="false"/>
                <w:color w:val="000000"/>
              </w:rPr>
              <w:t xml:space="preserve">800.19</w:t>
            </w:r>
          </w:p>
        </w:tc>
      </w:tr>
    </w:tbl>
    <w:p>
      <w:pPr>
        <w:spacing w:after="160"/>
      </w:pPr>
      <w:r>
        <w:rPr>
          <w:i/>
          <w:iCs/>
          <w:sz w:val="20"/>
          <w:szCs w:val="20"/>
        </w:rPr>
        <w:t xml:space="preserve">*July 2024 covers only 25 of 31 calendar days in the dataset.</w:t>
      </w:r>
    </w:p>
    <w:p>
      <w:pPr>
        <w:spacing w:after="80" w:before="20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62275"/>
                    </a:xfrm>
                    <a:prstGeom prst="rect">
                      <a:avLst/>
                    </a:prstGeom>
                  </pic:spPr>
                </pic:pic>
              </a:graphicData>
            </a:graphic>
          </wp:inline>
        </w:drawing>
      </w:r>
    </w:p>
    <w:p>
      <w:pPr>
        <w:spacing w:after="240"/>
        <w:jc w:val="center"/>
      </w:pPr>
      <w:r>
        <w:rPr>
          <w:i/>
          <w:iCs/>
          <w:color w:val="444444"/>
          <w:sz w:val="20"/>
          <w:szCs w:val="20"/>
        </w:rPr>
        <w:t xml:space="preserve">Figure 2: Monthly revenue trend, January–July 2024</w:t>
      </w:r>
    </w:p>
    <w:p>
      <w:pPr>
        <w:spacing w:after="80" w:before="20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962275"/>
                    </a:xfrm>
                    <a:prstGeom prst="rect">
                      <a:avLst/>
                    </a:prstGeom>
                  </pic:spPr>
                </pic:pic>
              </a:graphicData>
            </a:graphic>
          </wp:inline>
        </w:drawing>
      </w:r>
    </w:p>
    <w:p>
      <w:pPr>
        <w:spacing w:after="240"/>
        <w:jc w:val="center"/>
      </w:pPr>
      <w:r>
        <w:rPr>
          <w:i/>
          <w:iCs/>
          <w:color w:val="444444"/>
          <w:sz w:val="20"/>
          <w:szCs w:val="20"/>
        </w:rPr>
        <w:t xml:space="preserve">Figure 3: Monthly transaction count and units sold</w:t>
      </w:r>
    </w:p>
    <w:p>
      <w:pPr>
        <w:spacing w:after="160"/>
      </w:pPr>
      <w:r>
        <w:t xml:space="preserve">Total revenue fell from ₹62.56 lakh in January to ₹50.51 lakh in July 2024, a decline of 19.26%. The month-on-month pattern is not a smooth, uniform decline: revenue actually recovered in March and June relative to the preceding month, before falling sharply in July. Transaction counts follow a broadly similar but noisier pattern, ranging from 128 (July) to 159 (January).</w:t>
      </w:r>
    </w:p>
    <w:p>
      <w:pPr>
        <w:spacing w:after="160"/>
      </w:pPr>
      <w:r>
        <w:t xml:space="preserve">Correcting for the partial July month: July's 128 transactions occurred over 25 days (≈5.1 transactions/day) versus January's 159 transactions over 31 days (≈5.1 transactions/day) — on a per-day basis, transaction volume in July is essentially unchanged from January. This confirms that a meaningful part of the ₹12.05 lakh headline revenue drop is attributable to July being a partial month in the dataset rather than to a genuine collapse in daily sales activity. Even after this adjustment, however, the underlying monthly revenue is not growing, and February–June shows a broadly flat-to-mildly-declining trend around ₹54–60 lakh, which still warrants management attention.</w:t>
      </w:r>
    </w:p>
    <w:p>
      <w:pPr>
        <w:pStyle w:val="Heading2"/>
        <w:spacing w:after="140" w:before="280"/>
      </w:pPr>
      <w:r>
        <w:t xml:space="preserve">5.2 Payment Channel Contribution</w:t>
      </w:r>
    </w:p>
    <w:tbl>
      <w:tblPr>
        <w:tblW w:type="dxa" w:w="10000"/>
        <w:tblBorders>
          <w:top w:val="single" w:color="B7C6D9" w:sz="4"/>
          <w:left w:val="single" w:color="B7C6D9" w:sz="4"/>
          <w:bottom w:val="single" w:color="B7C6D9" w:sz="4"/>
          <w:right w:val="single" w:color="B7C6D9" w:sz="4"/>
          <w:insideH w:val="single" w:color="D6E0EA" w:sz="2"/>
          <w:insideV w:val="single" w:color="D6E0EA" w:sz="2"/>
        </w:tblBorders>
      </w:tblPr>
      <w:tblGrid>
        <w:gridCol w:w="1900"/>
        <w:gridCol w:w="1700"/>
        <w:gridCol w:w="1600"/>
        <w:gridCol w:w="1300"/>
        <w:gridCol w:w="2000"/>
        <w:gridCol w:w="1500"/>
      </w:tblGrid>
      <w:tr>
        <w:trPr>
          <w:tblHeader/>
        </w:trPr>
        <w:tc>
          <w:tcPr>
            <w:tcW w:type="dxa" w:w="1900"/>
            <w:shd w:fill="1F4E79" w:val="clear"/>
            <w:tcMar>
              <w:top w:type="dxa" w:w="80"/>
              <w:left w:type="dxa" w:w="100"/>
              <w:bottom w:type="dxa" w:w="80"/>
              <w:right w:type="dxa" w:w="100"/>
            </w:tcMar>
          </w:tcPr>
          <w:p>
            <w:pPr>
              <w:jc w:val="center"/>
            </w:pPr>
            <w:r>
              <w:rPr>
                <w:b/>
                <w:bCs/>
                <w:color w:val="FFFFFF"/>
              </w:rPr>
              <w:t xml:space="preserve">Channel</w:t>
            </w:r>
          </w:p>
        </w:tc>
        <w:tc>
          <w:tcPr>
            <w:tcW w:type="dxa" w:w="1700"/>
            <w:shd w:fill="1F4E79" w:val="clear"/>
            <w:tcMar>
              <w:top w:type="dxa" w:w="80"/>
              <w:left w:type="dxa" w:w="100"/>
              <w:bottom w:type="dxa" w:w="80"/>
              <w:right w:type="dxa" w:w="100"/>
            </w:tcMar>
          </w:tcPr>
          <w:p>
            <w:pPr>
              <w:jc w:val="center"/>
            </w:pPr>
            <w:r>
              <w:rPr>
                <w:b/>
                <w:bCs/>
                <w:color w:val="FFFFFF"/>
              </w:rPr>
              <w:t xml:space="preserve">Revenue (₹ Lakh)</w:t>
            </w:r>
          </w:p>
        </w:tc>
        <w:tc>
          <w:tcPr>
            <w:tcW w:type="dxa" w:w="1600"/>
            <w:shd w:fill="1F4E79" w:val="clear"/>
            <w:tcMar>
              <w:top w:type="dxa" w:w="80"/>
              <w:left w:type="dxa" w:w="100"/>
              <w:bottom w:type="dxa" w:w="80"/>
              <w:right w:type="dxa" w:w="100"/>
            </w:tcMar>
          </w:tcPr>
          <w:p>
            <w:pPr>
              <w:jc w:val="center"/>
            </w:pPr>
            <w:r>
              <w:rPr>
                <w:b/>
                <w:bCs/>
                <w:color w:val="FFFFFF"/>
              </w:rPr>
              <w:t xml:space="preserve">Revenue Share</w:t>
            </w:r>
          </w:p>
        </w:tc>
        <w:tc>
          <w:tcPr>
            <w:tcW w:type="dxa" w:w="1300"/>
            <w:shd w:fill="1F4E79" w:val="clear"/>
            <w:tcMar>
              <w:top w:type="dxa" w:w="80"/>
              <w:left w:type="dxa" w:w="100"/>
              <w:bottom w:type="dxa" w:w="80"/>
              <w:right w:type="dxa" w:w="100"/>
            </w:tcMar>
          </w:tcPr>
          <w:p>
            <w:pPr>
              <w:jc w:val="center"/>
            </w:pPr>
            <w:r>
              <w:rPr>
                <w:b/>
                <w:bCs/>
                <w:color w:val="FFFFFF"/>
              </w:rPr>
              <w:t xml:space="preserve">Txn Share</w:t>
            </w:r>
          </w:p>
        </w:tc>
        <w:tc>
          <w:tcPr>
            <w:tcW w:type="dxa" w:w="2000"/>
            <w:shd w:fill="1F4E79" w:val="clear"/>
            <w:tcMar>
              <w:top w:type="dxa" w:w="80"/>
              <w:left w:type="dxa" w:w="100"/>
              <w:bottom w:type="dxa" w:w="80"/>
              <w:right w:type="dxa" w:w="100"/>
            </w:tcMar>
          </w:tcPr>
          <w:p>
            <w:pPr>
              <w:jc w:val="center"/>
            </w:pPr>
            <w:r>
              <w:rPr>
                <w:b/>
                <w:bCs/>
                <w:color w:val="FFFFFF"/>
              </w:rPr>
              <w:t xml:space="preserve">Avg. Revenue/Txn (₹)</w:t>
            </w:r>
          </w:p>
        </w:tc>
        <w:tc>
          <w:tcPr>
            <w:tcW w:type="dxa" w:w="1500"/>
            <w:shd w:fill="1F4E79" w:val="clear"/>
            <w:tcMar>
              <w:top w:type="dxa" w:w="80"/>
              <w:left w:type="dxa" w:w="100"/>
              <w:bottom w:type="dxa" w:w="80"/>
              <w:right w:type="dxa" w:w="100"/>
            </w:tcMar>
          </w:tcPr>
          <w:p>
            <w:pPr>
              <w:jc w:val="center"/>
            </w:pPr>
            <w:r>
              <w:rPr>
                <w:b/>
                <w:bCs/>
                <w:color w:val="FFFFFF"/>
              </w:rPr>
              <w:t xml:space="preserve">Jan→Jul Change</w:t>
            </w:r>
          </w:p>
        </w:tc>
      </w:tr>
      <w:tr>
        <w:tc>
          <w:tcPr>
            <w:tcW w:type="dxa" w:w="1900"/>
            <w:shd w:fill="F2F6FA" w:val="clear"/>
            <w:tcMar>
              <w:top w:type="dxa" w:w="80"/>
              <w:left w:type="dxa" w:w="100"/>
              <w:bottom w:type="dxa" w:w="80"/>
              <w:right w:type="dxa" w:w="100"/>
            </w:tcMar>
          </w:tcPr>
          <w:p>
            <w:pPr>
              <w:jc w:val="left"/>
            </w:pPr>
            <w:r>
              <w:rPr>
                <w:b w:val="false"/>
                <w:bCs w:val="false"/>
                <w:color w:val="000000"/>
              </w:rPr>
              <w:t xml:space="preserve">Credit Card</w:t>
            </w:r>
          </w:p>
        </w:tc>
        <w:tc>
          <w:tcPr>
            <w:tcW w:type="dxa" w:w="1700"/>
            <w:shd w:fill="F2F6FA" w:val="clear"/>
            <w:tcMar>
              <w:top w:type="dxa" w:w="80"/>
              <w:left w:type="dxa" w:w="100"/>
              <w:bottom w:type="dxa" w:w="80"/>
              <w:right w:type="dxa" w:w="100"/>
            </w:tcMar>
          </w:tcPr>
          <w:p>
            <w:pPr>
              <w:jc w:val="center"/>
            </w:pPr>
            <w:r>
              <w:rPr>
                <w:b w:val="false"/>
                <w:bCs w:val="false"/>
                <w:color w:val="000000"/>
              </w:rPr>
              <w:t xml:space="preserve">112.98</w:t>
            </w:r>
          </w:p>
        </w:tc>
        <w:tc>
          <w:tcPr>
            <w:tcW w:type="dxa" w:w="1600"/>
            <w:shd w:fill="F2F6FA" w:val="clear"/>
            <w:tcMar>
              <w:top w:type="dxa" w:w="80"/>
              <w:left w:type="dxa" w:w="100"/>
              <w:bottom w:type="dxa" w:w="80"/>
              <w:right w:type="dxa" w:w="100"/>
            </w:tcMar>
          </w:tcPr>
          <w:p>
            <w:pPr>
              <w:jc w:val="center"/>
            </w:pPr>
            <w:r>
              <w:rPr>
                <w:b w:val="false"/>
                <w:bCs w:val="false"/>
                <w:color w:val="000000"/>
              </w:rPr>
              <w:t xml:space="preserve">28.09%</w:t>
            </w:r>
          </w:p>
        </w:tc>
        <w:tc>
          <w:tcPr>
            <w:tcW w:type="dxa" w:w="1300"/>
            <w:shd w:fill="F2F6FA" w:val="clear"/>
            <w:tcMar>
              <w:top w:type="dxa" w:w="80"/>
              <w:left w:type="dxa" w:w="100"/>
              <w:bottom w:type="dxa" w:w="80"/>
              <w:right w:type="dxa" w:w="100"/>
            </w:tcMar>
          </w:tcPr>
          <w:p>
            <w:pPr>
              <w:jc w:val="center"/>
            </w:pPr>
            <w:r>
              <w:rPr>
                <w:b w:val="false"/>
                <w:bCs w:val="false"/>
                <w:color w:val="000000"/>
              </w:rPr>
              <w:t xml:space="preserve">27.8%</w:t>
            </w:r>
          </w:p>
        </w:tc>
        <w:tc>
          <w:tcPr>
            <w:tcW w:type="dxa" w:w="2000"/>
            <w:shd w:fill="F2F6FA" w:val="clear"/>
            <w:tcMar>
              <w:top w:type="dxa" w:w="80"/>
              <w:left w:type="dxa" w:w="100"/>
              <w:bottom w:type="dxa" w:w="80"/>
              <w:right w:type="dxa" w:w="100"/>
            </w:tcMar>
          </w:tcPr>
          <w:p>
            <w:pPr>
              <w:jc w:val="center"/>
            </w:pPr>
            <w:r>
              <w:rPr>
                <w:b w:val="false"/>
                <w:bCs w:val="false"/>
                <w:color w:val="000000"/>
              </w:rPr>
              <w:t xml:space="preserve">40,641</w:t>
            </w:r>
          </w:p>
        </w:tc>
        <w:tc>
          <w:tcPr>
            <w:tcW w:type="dxa" w:w="1500"/>
            <w:shd w:fill="F2F6FA" w:val="clear"/>
            <w:tcMar>
              <w:top w:type="dxa" w:w="80"/>
              <w:left w:type="dxa" w:w="100"/>
              <w:bottom w:type="dxa" w:w="80"/>
              <w:right w:type="dxa" w:w="100"/>
            </w:tcMar>
          </w:tcPr>
          <w:p>
            <w:pPr>
              <w:jc w:val="center"/>
            </w:pPr>
            <w:r>
              <w:rPr>
                <w:b w:val="false"/>
                <w:bCs w:val="false"/>
                <w:color w:val="000000"/>
              </w:rPr>
              <w:t xml:space="preserve">-23.85%</w:t>
            </w:r>
          </w:p>
        </w:tc>
      </w:tr>
      <w:tr>
        <w:tc>
          <w:tcPr>
            <w:tcW w:type="dxa" w:w="1900"/>
            <w:shd w:fill="FFFFFF" w:val="clear"/>
            <w:tcMar>
              <w:top w:type="dxa" w:w="80"/>
              <w:left w:type="dxa" w:w="100"/>
              <w:bottom w:type="dxa" w:w="80"/>
              <w:right w:type="dxa" w:w="100"/>
            </w:tcMar>
          </w:tcPr>
          <w:p>
            <w:pPr>
              <w:jc w:val="left"/>
            </w:pPr>
            <w:r>
              <w:rPr>
                <w:b w:val="false"/>
                <w:bCs w:val="false"/>
                <w:color w:val="000000"/>
              </w:rPr>
              <w:t xml:space="preserve">Online</w:t>
            </w:r>
          </w:p>
        </w:tc>
        <w:tc>
          <w:tcPr>
            <w:tcW w:type="dxa" w:w="1700"/>
            <w:shd w:fill="FFFFFF" w:val="clear"/>
            <w:tcMar>
              <w:top w:type="dxa" w:w="80"/>
              <w:left w:type="dxa" w:w="100"/>
              <w:bottom w:type="dxa" w:w="80"/>
              <w:right w:type="dxa" w:w="100"/>
            </w:tcMar>
          </w:tcPr>
          <w:p>
            <w:pPr>
              <w:jc w:val="center"/>
            </w:pPr>
            <w:r>
              <w:rPr>
                <w:b w:val="false"/>
                <w:bCs w:val="false"/>
                <w:color w:val="000000"/>
              </w:rPr>
              <w:t xml:space="preserve">102.77</w:t>
            </w:r>
          </w:p>
        </w:tc>
        <w:tc>
          <w:tcPr>
            <w:tcW w:type="dxa" w:w="1600"/>
            <w:shd w:fill="FFFFFF" w:val="clear"/>
            <w:tcMar>
              <w:top w:type="dxa" w:w="80"/>
              <w:left w:type="dxa" w:w="100"/>
              <w:bottom w:type="dxa" w:w="80"/>
              <w:right w:type="dxa" w:w="100"/>
            </w:tcMar>
          </w:tcPr>
          <w:p>
            <w:pPr>
              <w:jc w:val="center"/>
            </w:pPr>
            <w:r>
              <w:rPr>
                <w:b w:val="false"/>
                <w:bCs w:val="false"/>
                <w:color w:val="000000"/>
              </w:rPr>
              <w:t xml:space="preserve">25.55%</w:t>
            </w:r>
          </w:p>
        </w:tc>
        <w:tc>
          <w:tcPr>
            <w:tcW w:type="dxa" w:w="1300"/>
            <w:shd w:fill="FFFFFF" w:val="clear"/>
            <w:tcMar>
              <w:top w:type="dxa" w:w="80"/>
              <w:left w:type="dxa" w:w="100"/>
              <w:bottom w:type="dxa" w:w="80"/>
              <w:right w:type="dxa" w:w="100"/>
            </w:tcMar>
          </w:tcPr>
          <w:p>
            <w:pPr>
              <w:jc w:val="center"/>
            </w:pPr>
            <w:r>
              <w:rPr>
                <w:b w:val="false"/>
                <w:bCs w:val="false"/>
                <w:color w:val="000000"/>
              </w:rPr>
              <w:t xml:space="preserve">25.9%</w:t>
            </w:r>
          </w:p>
        </w:tc>
        <w:tc>
          <w:tcPr>
            <w:tcW w:type="dxa" w:w="2000"/>
            <w:shd w:fill="FFFFFF" w:val="clear"/>
            <w:tcMar>
              <w:top w:type="dxa" w:w="80"/>
              <w:left w:type="dxa" w:w="100"/>
              <w:bottom w:type="dxa" w:w="80"/>
              <w:right w:type="dxa" w:w="100"/>
            </w:tcMar>
          </w:tcPr>
          <w:p>
            <w:pPr>
              <w:jc w:val="center"/>
            </w:pPr>
            <w:r>
              <w:rPr>
                <w:b w:val="false"/>
                <w:bCs w:val="false"/>
                <w:color w:val="000000"/>
              </w:rPr>
              <w:t xml:space="preserve">39,680</w:t>
            </w:r>
          </w:p>
        </w:tc>
        <w:tc>
          <w:tcPr>
            <w:tcW w:type="dxa" w:w="1500"/>
            <w:shd w:fill="FFFFFF" w:val="clear"/>
            <w:tcMar>
              <w:top w:type="dxa" w:w="80"/>
              <w:left w:type="dxa" w:w="100"/>
              <w:bottom w:type="dxa" w:w="80"/>
              <w:right w:type="dxa" w:w="100"/>
            </w:tcMar>
          </w:tcPr>
          <w:p>
            <w:pPr>
              <w:jc w:val="center"/>
            </w:pPr>
            <w:r>
              <w:rPr>
                <w:b w:val="false"/>
                <w:bCs w:val="false"/>
                <w:color w:val="000000"/>
              </w:rPr>
              <w:t xml:space="preserve">-15.29%</w:t>
            </w:r>
          </w:p>
        </w:tc>
      </w:tr>
      <w:tr>
        <w:tc>
          <w:tcPr>
            <w:tcW w:type="dxa" w:w="1900"/>
            <w:shd w:fill="F2F6FA" w:val="clear"/>
            <w:tcMar>
              <w:top w:type="dxa" w:w="80"/>
              <w:left w:type="dxa" w:w="100"/>
              <w:bottom w:type="dxa" w:w="80"/>
              <w:right w:type="dxa" w:w="100"/>
            </w:tcMar>
          </w:tcPr>
          <w:p>
            <w:pPr>
              <w:jc w:val="left"/>
            </w:pPr>
            <w:r>
              <w:rPr>
                <w:b w:val="false"/>
                <w:bCs w:val="false"/>
                <w:color w:val="000000"/>
              </w:rPr>
              <w:t xml:space="preserve">Debit Card</w:t>
            </w:r>
          </w:p>
        </w:tc>
        <w:tc>
          <w:tcPr>
            <w:tcW w:type="dxa" w:w="1700"/>
            <w:shd w:fill="F2F6FA" w:val="clear"/>
            <w:tcMar>
              <w:top w:type="dxa" w:w="80"/>
              <w:left w:type="dxa" w:w="100"/>
              <w:bottom w:type="dxa" w:w="80"/>
              <w:right w:type="dxa" w:w="100"/>
            </w:tcMar>
          </w:tcPr>
          <w:p>
            <w:pPr>
              <w:jc w:val="center"/>
            </w:pPr>
            <w:r>
              <w:rPr>
                <w:b w:val="false"/>
                <w:bCs w:val="false"/>
                <w:color w:val="000000"/>
              </w:rPr>
              <w:t xml:space="preserve">99.53</w:t>
            </w:r>
          </w:p>
        </w:tc>
        <w:tc>
          <w:tcPr>
            <w:tcW w:type="dxa" w:w="1600"/>
            <w:shd w:fill="F2F6FA" w:val="clear"/>
            <w:tcMar>
              <w:top w:type="dxa" w:w="80"/>
              <w:left w:type="dxa" w:w="100"/>
              <w:bottom w:type="dxa" w:w="80"/>
              <w:right w:type="dxa" w:w="100"/>
            </w:tcMar>
          </w:tcPr>
          <w:p>
            <w:pPr>
              <w:jc w:val="center"/>
            </w:pPr>
            <w:r>
              <w:rPr>
                <w:b w:val="false"/>
                <w:bCs w:val="false"/>
                <w:color w:val="000000"/>
              </w:rPr>
              <w:t xml:space="preserve">24.75%</w:t>
            </w:r>
          </w:p>
        </w:tc>
        <w:tc>
          <w:tcPr>
            <w:tcW w:type="dxa" w:w="1300"/>
            <w:shd w:fill="F2F6FA" w:val="clear"/>
            <w:tcMar>
              <w:top w:type="dxa" w:w="80"/>
              <w:left w:type="dxa" w:w="100"/>
              <w:bottom w:type="dxa" w:w="80"/>
              <w:right w:type="dxa" w:w="100"/>
            </w:tcMar>
          </w:tcPr>
          <w:p>
            <w:pPr>
              <w:jc w:val="center"/>
            </w:pPr>
            <w:r>
              <w:rPr>
                <w:b w:val="false"/>
                <w:bCs w:val="false"/>
                <w:color w:val="000000"/>
              </w:rPr>
              <w:t xml:space="preserve">24.6%</w:t>
            </w:r>
          </w:p>
        </w:tc>
        <w:tc>
          <w:tcPr>
            <w:tcW w:type="dxa" w:w="2000"/>
            <w:shd w:fill="F2F6FA" w:val="clear"/>
            <w:tcMar>
              <w:top w:type="dxa" w:w="80"/>
              <w:left w:type="dxa" w:w="100"/>
              <w:bottom w:type="dxa" w:w="80"/>
              <w:right w:type="dxa" w:w="100"/>
            </w:tcMar>
          </w:tcPr>
          <w:p>
            <w:pPr>
              <w:jc w:val="center"/>
            </w:pPr>
            <w:r>
              <w:rPr>
                <w:b w:val="false"/>
                <w:bCs w:val="false"/>
                <w:color w:val="000000"/>
              </w:rPr>
              <w:t xml:space="preserve">40,459</w:t>
            </w:r>
          </w:p>
        </w:tc>
        <w:tc>
          <w:tcPr>
            <w:tcW w:type="dxa" w:w="1500"/>
            <w:shd w:fill="F2F6FA" w:val="clear"/>
            <w:tcMar>
              <w:top w:type="dxa" w:w="80"/>
              <w:left w:type="dxa" w:w="100"/>
              <w:bottom w:type="dxa" w:w="80"/>
              <w:right w:type="dxa" w:w="100"/>
            </w:tcMar>
          </w:tcPr>
          <w:p>
            <w:pPr>
              <w:jc w:val="center"/>
            </w:pPr>
            <w:r>
              <w:rPr>
                <w:b w:val="false"/>
                <w:bCs w:val="false"/>
                <w:color w:val="000000"/>
              </w:rPr>
              <w:t xml:space="preserve">-35.82%</w:t>
            </w:r>
          </w:p>
        </w:tc>
      </w:tr>
      <w:tr>
        <w:tc>
          <w:tcPr>
            <w:tcW w:type="dxa" w:w="1900"/>
            <w:shd w:fill="FFFFFF" w:val="clear"/>
            <w:tcMar>
              <w:top w:type="dxa" w:w="80"/>
              <w:left w:type="dxa" w:w="100"/>
              <w:bottom w:type="dxa" w:w="80"/>
              <w:right w:type="dxa" w:w="100"/>
            </w:tcMar>
          </w:tcPr>
          <w:p>
            <w:pPr>
              <w:jc w:val="left"/>
            </w:pPr>
            <w:r>
              <w:rPr>
                <w:b w:val="false"/>
                <w:bCs w:val="false"/>
                <w:color w:val="000000"/>
              </w:rPr>
              <w:t xml:space="preserve">Cash</w:t>
            </w:r>
          </w:p>
        </w:tc>
        <w:tc>
          <w:tcPr>
            <w:tcW w:type="dxa" w:w="1700"/>
            <w:shd w:fill="FFFFFF" w:val="clear"/>
            <w:tcMar>
              <w:top w:type="dxa" w:w="80"/>
              <w:left w:type="dxa" w:w="100"/>
              <w:bottom w:type="dxa" w:w="80"/>
              <w:right w:type="dxa" w:w="100"/>
            </w:tcMar>
          </w:tcPr>
          <w:p>
            <w:pPr>
              <w:jc w:val="center"/>
            </w:pPr>
            <w:r>
              <w:rPr>
                <w:b w:val="false"/>
                <w:bCs w:val="false"/>
                <w:color w:val="000000"/>
              </w:rPr>
              <w:t xml:space="preserve">86.90</w:t>
            </w:r>
          </w:p>
        </w:tc>
        <w:tc>
          <w:tcPr>
            <w:tcW w:type="dxa" w:w="1600"/>
            <w:shd w:fill="FFFFFF" w:val="clear"/>
            <w:tcMar>
              <w:top w:type="dxa" w:w="80"/>
              <w:left w:type="dxa" w:w="100"/>
              <w:bottom w:type="dxa" w:w="80"/>
              <w:right w:type="dxa" w:w="100"/>
            </w:tcMar>
          </w:tcPr>
          <w:p>
            <w:pPr>
              <w:jc w:val="center"/>
            </w:pPr>
            <w:r>
              <w:rPr>
                <w:b w:val="false"/>
                <w:bCs w:val="false"/>
                <w:color w:val="000000"/>
              </w:rPr>
              <w:t xml:space="preserve">21.61%</w:t>
            </w:r>
          </w:p>
        </w:tc>
        <w:tc>
          <w:tcPr>
            <w:tcW w:type="dxa" w:w="1300"/>
            <w:shd w:fill="FFFFFF" w:val="clear"/>
            <w:tcMar>
              <w:top w:type="dxa" w:w="80"/>
              <w:left w:type="dxa" w:w="100"/>
              <w:bottom w:type="dxa" w:w="80"/>
              <w:right w:type="dxa" w:w="100"/>
            </w:tcMar>
          </w:tcPr>
          <w:p>
            <w:pPr>
              <w:jc w:val="center"/>
            </w:pPr>
            <w:r>
              <w:rPr>
                <w:b w:val="false"/>
                <w:bCs w:val="false"/>
                <w:color w:val="000000"/>
              </w:rPr>
              <w:t xml:space="preserve">21.7%</w:t>
            </w:r>
          </w:p>
        </w:tc>
        <w:tc>
          <w:tcPr>
            <w:tcW w:type="dxa" w:w="2000"/>
            <w:shd w:fill="FFFFFF" w:val="clear"/>
            <w:tcMar>
              <w:top w:type="dxa" w:w="80"/>
              <w:left w:type="dxa" w:w="100"/>
              <w:bottom w:type="dxa" w:w="80"/>
              <w:right w:type="dxa" w:w="100"/>
            </w:tcMar>
          </w:tcPr>
          <w:p>
            <w:pPr>
              <w:jc w:val="center"/>
            </w:pPr>
            <w:r>
              <w:rPr>
                <w:b w:val="false"/>
                <w:bCs w:val="false"/>
                <w:color w:val="000000"/>
              </w:rPr>
              <w:t xml:space="preserve">40,047</w:t>
            </w:r>
          </w:p>
        </w:tc>
        <w:tc>
          <w:tcPr>
            <w:tcW w:type="dxa" w:w="1500"/>
            <w:shd w:fill="FFFFFF" w:val="clear"/>
            <w:tcMar>
              <w:top w:type="dxa" w:w="80"/>
              <w:left w:type="dxa" w:w="100"/>
              <w:bottom w:type="dxa" w:w="80"/>
              <w:right w:type="dxa" w:w="100"/>
            </w:tcMar>
          </w:tcPr>
          <w:p>
            <w:pPr>
              <w:jc w:val="center"/>
            </w:pPr>
            <w:r>
              <w:rPr>
                <w:b w:val="false"/>
                <w:bCs w:val="false"/>
                <w:color w:val="000000"/>
              </w:rPr>
              <w:t xml:space="preserve">+3.71%</w:t>
            </w:r>
          </w:p>
        </w:tc>
      </w:tr>
    </w:tbl>
    <w:p>
      <w:pPr>
        <w:spacing w:after="80" w:before="200"/>
        <w:jc w:val="center"/>
      </w:pPr>
      <w:r>
        <w:drawing>
          <wp:inline distT="0" distB="0" distL="0" distR="0">
            <wp:extent cx="4000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429000"/>
                    </a:xfrm>
                    <a:prstGeom prst="rect">
                      <a:avLst/>
                    </a:prstGeom>
                  </pic:spPr>
                </pic:pic>
              </a:graphicData>
            </a:graphic>
          </wp:inline>
        </w:drawing>
      </w:r>
    </w:p>
    <w:p>
      <w:pPr>
        <w:spacing w:after="240"/>
        <w:jc w:val="center"/>
      </w:pPr>
      <w:r>
        <w:rPr>
          <w:i/>
          <w:iCs/>
          <w:color w:val="444444"/>
          <w:sz w:val="20"/>
          <w:szCs w:val="20"/>
        </w:rPr>
        <w:t xml:space="preserve">Figure 4: Revenue share by payment channel</w:t>
      </w:r>
    </w:p>
    <w:p>
      <w:pPr>
        <w:spacing w:after="80" w:before="20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962275"/>
                    </a:xfrm>
                    <a:prstGeom prst="rect">
                      <a:avLst/>
                    </a:prstGeom>
                  </pic:spPr>
                </pic:pic>
              </a:graphicData>
            </a:graphic>
          </wp:inline>
        </w:drawing>
      </w:r>
    </w:p>
    <w:p>
      <w:pPr>
        <w:spacing w:after="240"/>
        <w:jc w:val="center"/>
      </w:pPr>
      <w:r>
        <w:rPr>
          <w:i/>
          <w:iCs/>
          <w:color w:val="444444"/>
          <w:sz w:val="20"/>
          <w:szCs w:val="20"/>
        </w:rPr>
        <w:t xml:space="preserve">Figure 5: Channel-wise monthly revenue trend</w:t>
      </w:r>
    </w:p>
    <w:p>
      <w:pPr>
        <w:spacing w:after="80" w:before="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444444"/>
          <w:sz w:val="20"/>
          <w:szCs w:val="20"/>
        </w:rPr>
        <w:t xml:space="preserve">Figure 6: Spread of per-transaction revenue by channel</w:t>
      </w:r>
    </w:p>
    <w:p>
      <w:pPr>
        <w:spacing w:after="160"/>
      </w:pPr>
      <w:r>
        <w:t xml:space="preserve">All four channels contribute a broadly similar share of revenue (22–28%), and average revenue per transaction is nearly identical across channels (≈₹39,700–₹40,650), so no single channel is disproportionately more or less valuable per transaction. The channel-wise trend, however, is far from uniform: Debit Card revenue fell by 35.8% between January and July — the steepest decline of any channel — while Credit Card and Online fell by 23.9% and 15.3% respectively. Cash was the only channel that grew slightly (+3.7%) over the same period.</w:t>
      </w:r>
    </w:p>
    <w:p>
      <w:pPr>
        <w:spacing w:after="160"/>
      </w:pPr>
      <w:r>
        <w:t xml:space="preserve">This shows the overall revenue decline is not broad-based or purely seasonal — it is concentrated in the digital-payment channels, particularly Debit Card, while Cash-based in-store purchases have held up. This points toward a channel-specific issue (e.g., a payment-gateway friction, a lapsed digital offer/cashback, or a shift in customer trust for debit-card transactions) rather than a general fall in footfall or demand.</w:t>
      </w:r>
    </w:p>
    <w:p>
      <w:pPr>
        <w:pStyle w:val="Heading2"/>
        <w:spacing w:after="140" w:before="280"/>
      </w:pPr>
      <w:r>
        <w:t xml:space="preserve">5.3 Customer Demographic Segmentation</w:t>
      </w:r>
    </w:p>
    <w:tbl>
      <w:tblPr>
        <w:tblW w:type="dxa" w:w="8900"/>
        <w:tblBorders>
          <w:top w:val="single" w:color="B7C6D9" w:sz="4"/>
          <w:left w:val="single" w:color="B7C6D9" w:sz="4"/>
          <w:bottom w:val="single" w:color="B7C6D9" w:sz="4"/>
          <w:right w:val="single" w:color="B7C6D9" w:sz="4"/>
          <w:insideH w:val="single" w:color="D6E0EA" w:sz="2"/>
          <w:insideV w:val="single" w:color="D6E0EA" w:sz="2"/>
        </w:tblBorders>
      </w:tblPr>
      <w:tblGrid>
        <w:gridCol w:w="1700"/>
        <w:gridCol w:w="1900"/>
        <w:gridCol w:w="1700"/>
        <w:gridCol w:w="1700"/>
        <w:gridCol w:w="1900"/>
      </w:tblGrid>
      <w:tr>
        <w:trPr>
          <w:tblHeader/>
        </w:trPr>
        <w:tc>
          <w:tcPr>
            <w:tcW w:type="dxa" w:w="1700"/>
            <w:shd w:fill="1F4E79" w:val="clear"/>
            <w:tcMar>
              <w:top w:type="dxa" w:w="80"/>
              <w:left w:type="dxa" w:w="100"/>
              <w:bottom w:type="dxa" w:w="80"/>
              <w:right w:type="dxa" w:w="100"/>
            </w:tcMar>
          </w:tcPr>
          <w:p>
            <w:pPr>
              <w:jc w:val="center"/>
            </w:pPr>
            <w:r>
              <w:rPr>
                <w:b/>
                <w:bCs/>
                <w:color w:val="FFFFFF"/>
              </w:rPr>
              <w:t xml:space="preserve">Age Group</w:t>
            </w:r>
          </w:p>
        </w:tc>
        <w:tc>
          <w:tcPr>
            <w:tcW w:type="dxa" w:w="1900"/>
            <w:shd w:fill="1F4E79" w:val="clear"/>
            <w:tcMar>
              <w:top w:type="dxa" w:w="80"/>
              <w:left w:type="dxa" w:w="100"/>
              <w:bottom w:type="dxa" w:w="80"/>
              <w:right w:type="dxa" w:w="100"/>
            </w:tcMar>
          </w:tcPr>
          <w:p>
            <w:pPr>
              <w:jc w:val="center"/>
            </w:pPr>
            <w:r>
              <w:rPr>
                <w:b/>
                <w:bCs/>
                <w:color w:val="FFFFFF"/>
              </w:rPr>
              <w:t xml:space="preserve">Revenue (₹ Lakh)</w:t>
            </w:r>
          </w:p>
        </w:tc>
        <w:tc>
          <w:tcPr>
            <w:tcW w:type="dxa" w:w="1700"/>
            <w:shd w:fill="1F4E79" w:val="clear"/>
            <w:tcMar>
              <w:top w:type="dxa" w:w="80"/>
              <w:left w:type="dxa" w:w="100"/>
              <w:bottom w:type="dxa" w:w="80"/>
              <w:right w:type="dxa" w:w="100"/>
            </w:tcMar>
          </w:tcPr>
          <w:p>
            <w:pPr>
              <w:jc w:val="center"/>
            </w:pPr>
            <w:r>
              <w:rPr>
                <w:b/>
                <w:bCs/>
                <w:color w:val="FFFFFF"/>
              </w:rPr>
              <w:t xml:space="preserve">Revenue Share</w:t>
            </w:r>
          </w:p>
        </w:tc>
        <w:tc>
          <w:tcPr>
            <w:tcW w:type="dxa" w:w="1700"/>
            <w:shd w:fill="1F4E79" w:val="clear"/>
            <w:tcMar>
              <w:top w:type="dxa" w:w="80"/>
              <w:left w:type="dxa" w:w="100"/>
              <w:bottom w:type="dxa" w:w="80"/>
              <w:right w:type="dxa" w:w="100"/>
            </w:tcMar>
          </w:tcPr>
          <w:p>
            <w:pPr>
              <w:jc w:val="center"/>
            </w:pPr>
            <w:r>
              <w:rPr>
                <w:b/>
                <w:bCs/>
                <w:color w:val="FFFFFF"/>
              </w:rPr>
              <w:t xml:space="preserve">Transactions</w:t>
            </w:r>
          </w:p>
        </w:tc>
        <w:tc>
          <w:tcPr>
            <w:tcW w:type="dxa" w:w="1900"/>
            <w:shd w:fill="1F4E79" w:val="clear"/>
            <w:tcMar>
              <w:top w:type="dxa" w:w="80"/>
              <w:left w:type="dxa" w:w="100"/>
              <w:bottom w:type="dxa" w:w="80"/>
              <w:right w:type="dxa" w:w="100"/>
            </w:tcMar>
          </w:tcPr>
          <w:p>
            <w:pPr>
              <w:jc w:val="center"/>
            </w:pPr>
            <w:r>
              <w:rPr>
                <w:b/>
                <w:bCs/>
                <w:color w:val="FFFFFF"/>
              </w:rPr>
              <w:t xml:space="preserve">Avg. Spend (₹)</w:t>
            </w:r>
          </w:p>
        </w:tc>
      </w:tr>
      <w:tr>
        <w:tc>
          <w:tcPr>
            <w:tcW w:type="dxa" w:w="1700"/>
            <w:shd w:fill="F2F6FA" w:val="clear"/>
            <w:tcMar>
              <w:top w:type="dxa" w:w="80"/>
              <w:left w:type="dxa" w:w="100"/>
              <w:bottom w:type="dxa" w:w="80"/>
              <w:right w:type="dxa" w:w="100"/>
            </w:tcMar>
          </w:tcPr>
          <w:p>
            <w:pPr>
              <w:jc w:val="left"/>
            </w:pPr>
            <w:r>
              <w:rPr>
                <w:b w:val="false"/>
                <w:bCs w:val="false"/>
                <w:color w:val="000000"/>
              </w:rPr>
              <w:t xml:space="preserve">18–27</w:t>
            </w:r>
          </w:p>
        </w:tc>
        <w:tc>
          <w:tcPr>
            <w:tcW w:type="dxa" w:w="1900"/>
            <w:shd w:fill="F2F6FA" w:val="clear"/>
            <w:tcMar>
              <w:top w:type="dxa" w:w="80"/>
              <w:left w:type="dxa" w:w="100"/>
              <w:bottom w:type="dxa" w:w="80"/>
              <w:right w:type="dxa" w:w="100"/>
            </w:tcMar>
          </w:tcPr>
          <w:p>
            <w:pPr>
              <w:jc w:val="center"/>
            </w:pPr>
            <w:r>
              <w:rPr>
                <w:b w:val="false"/>
                <w:bCs w:val="false"/>
                <w:color w:val="000000"/>
              </w:rPr>
              <w:t xml:space="preserve">76.11</w:t>
            </w:r>
          </w:p>
        </w:tc>
        <w:tc>
          <w:tcPr>
            <w:tcW w:type="dxa" w:w="1700"/>
            <w:shd w:fill="F2F6FA" w:val="clear"/>
            <w:tcMar>
              <w:top w:type="dxa" w:w="80"/>
              <w:left w:type="dxa" w:w="100"/>
              <w:bottom w:type="dxa" w:w="80"/>
              <w:right w:type="dxa" w:w="100"/>
            </w:tcMar>
          </w:tcPr>
          <w:p>
            <w:pPr>
              <w:jc w:val="center"/>
            </w:pPr>
            <w:r>
              <w:rPr>
                <w:b w:val="false"/>
                <w:bCs w:val="false"/>
                <w:color w:val="000000"/>
              </w:rPr>
              <w:t xml:space="preserve">18.92%</w:t>
            </w:r>
          </w:p>
        </w:tc>
        <w:tc>
          <w:tcPr>
            <w:tcW w:type="dxa" w:w="1700"/>
            <w:shd w:fill="F2F6FA" w:val="clear"/>
            <w:tcMar>
              <w:top w:type="dxa" w:w="80"/>
              <w:left w:type="dxa" w:w="100"/>
              <w:bottom w:type="dxa" w:w="80"/>
              <w:right w:type="dxa" w:w="100"/>
            </w:tcMar>
          </w:tcPr>
          <w:p>
            <w:pPr>
              <w:jc w:val="center"/>
            </w:pPr>
            <w:r>
              <w:rPr>
                <w:b w:val="false"/>
                <w:bCs w:val="false"/>
                <w:color w:val="000000"/>
              </w:rPr>
              <w:t xml:space="preserve">209</w:t>
            </w:r>
          </w:p>
        </w:tc>
        <w:tc>
          <w:tcPr>
            <w:tcW w:type="dxa" w:w="1900"/>
            <w:shd w:fill="F2F6FA" w:val="clear"/>
            <w:tcMar>
              <w:top w:type="dxa" w:w="80"/>
              <w:left w:type="dxa" w:w="100"/>
              <w:bottom w:type="dxa" w:w="80"/>
              <w:right w:type="dxa" w:w="100"/>
            </w:tcMar>
          </w:tcPr>
          <w:p>
            <w:pPr>
              <w:jc w:val="center"/>
            </w:pPr>
            <w:r>
              <w:rPr>
                <w:b w:val="false"/>
                <w:bCs w:val="false"/>
                <w:color w:val="000000"/>
              </w:rPr>
              <w:t xml:space="preserve">36,417</w:t>
            </w:r>
          </w:p>
        </w:tc>
      </w:tr>
      <w:tr>
        <w:tc>
          <w:tcPr>
            <w:tcW w:type="dxa" w:w="1700"/>
            <w:shd w:fill="FFFFFF" w:val="clear"/>
            <w:tcMar>
              <w:top w:type="dxa" w:w="80"/>
              <w:left w:type="dxa" w:w="100"/>
              <w:bottom w:type="dxa" w:w="80"/>
              <w:right w:type="dxa" w:w="100"/>
            </w:tcMar>
          </w:tcPr>
          <w:p>
            <w:pPr>
              <w:jc w:val="left"/>
            </w:pPr>
            <w:r>
              <w:rPr>
                <w:b w:val="false"/>
                <w:bCs w:val="false"/>
                <w:color w:val="000000"/>
              </w:rPr>
              <w:t xml:space="preserve">28–37</w:t>
            </w:r>
          </w:p>
        </w:tc>
        <w:tc>
          <w:tcPr>
            <w:tcW w:type="dxa" w:w="1900"/>
            <w:shd w:fill="FFFFFF" w:val="clear"/>
            <w:tcMar>
              <w:top w:type="dxa" w:w="80"/>
              <w:left w:type="dxa" w:w="100"/>
              <w:bottom w:type="dxa" w:w="80"/>
              <w:right w:type="dxa" w:w="100"/>
            </w:tcMar>
          </w:tcPr>
          <w:p>
            <w:pPr>
              <w:jc w:val="center"/>
            </w:pPr>
            <w:r>
              <w:rPr>
                <w:b w:val="false"/>
                <w:bCs w:val="false"/>
                <w:color w:val="000000"/>
              </w:rPr>
              <w:t xml:space="preserve">74.10</w:t>
            </w:r>
          </w:p>
        </w:tc>
        <w:tc>
          <w:tcPr>
            <w:tcW w:type="dxa" w:w="1700"/>
            <w:shd w:fill="FFFFFF" w:val="clear"/>
            <w:tcMar>
              <w:top w:type="dxa" w:w="80"/>
              <w:left w:type="dxa" w:w="100"/>
              <w:bottom w:type="dxa" w:w="80"/>
              <w:right w:type="dxa" w:w="100"/>
            </w:tcMar>
          </w:tcPr>
          <w:p>
            <w:pPr>
              <w:jc w:val="center"/>
            </w:pPr>
            <w:r>
              <w:rPr>
                <w:b w:val="false"/>
                <w:bCs w:val="false"/>
                <w:color w:val="000000"/>
              </w:rPr>
              <w:t xml:space="preserve">18.42%</w:t>
            </w:r>
          </w:p>
        </w:tc>
        <w:tc>
          <w:tcPr>
            <w:tcW w:type="dxa" w:w="1700"/>
            <w:shd w:fill="FFFFFF" w:val="clear"/>
            <w:tcMar>
              <w:top w:type="dxa" w:w="80"/>
              <w:left w:type="dxa" w:w="100"/>
              <w:bottom w:type="dxa" w:w="80"/>
              <w:right w:type="dxa" w:w="100"/>
            </w:tcMar>
          </w:tcPr>
          <w:p>
            <w:pPr>
              <w:jc w:val="center"/>
            </w:pPr>
            <w:r>
              <w:rPr>
                <w:b w:val="false"/>
                <w:bCs w:val="false"/>
                <w:color w:val="000000"/>
              </w:rPr>
              <w:t xml:space="preserve">211</w:t>
            </w:r>
          </w:p>
        </w:tc>
        <w:tc>
          <w:tcPr>
            <w:tcW w:type="dxa" w:w="1900"/>
            <w:shd w:fill="FFFFFF" w:val="clear"/>
            <w:tcMar>
              <w:top w:type="dxa" w:w="80"/>
              <w:left w:type="dxa" w:w="100"/>
              <w:bottom w:type="dxa" w:w="80"/>
              <w:right w:type="dxa" w:w="100"/>
            </w:tcMar>
          </w:tcPr>
          <w:p>
            <w:pPr>
              <w:jc w:val="center"/>
            </w:pPr>
            <w:r>
              <w:rPr>
                <w:b w:val="false"/>
                <w:bCs w:val="false"/>
                <w:color w:val="000000"/>
              </w:rPr>
              <w:t xml:space="preserve">35,118</w:t>
            </w:r>
          </w:p>
        </w:tc>
      </w:tr>
      <w:tr>
        <w:tc>
          <w:tcPr>
            <w:tcW w:type="dxa" w:w="1700"/>
            <w:shd w:fill="F2F6FA" w:val="clear"/>
            <w:tcMar>
              <w:top w:type="dxa" w:w="80"/>
              <w:left w:type="dxa" w:w="100"/>
              <w:bottom w:type="dxa" w:w="80"/>
              <w:right w:type="dxa" w:w="100"/>
            </w:tcMar>
          </w:tcPr>
          <w:p>
            <w:pPr>
              <w:jc w:val="left"/>
            </w:pPr>
            <w:r>
              <w:rPr>
                <w:b w:val="false"/>
                <w:bCs w:val="false"/>
                <w:color w:val="000000"/>
              </w:rPr>
              <w:t xml:space="preserve">38–47</w:t>
            </w:r>
          </w:p>
        </w:tc>
        <w:tc>
          <w:tcPr>
            <w:tcW w:type="dxa" w:w="1900"/>
            <w:shd w:fill="F2F6FA" w:val="clear"/>
            <w:tcMar>
              <w:top w:type="dxa" w:w="80"/>
              <w:left w:type="dxa" w:w="100"/>
              <w:bottom w:type="dxa" w:w="80"/>
              <w:right w:type="dxa" w:w="100"/>
            </w:tcMar>
          </w:tcPr>
          <w:p>
            <w:pPr>
              <w:jc w:val="center"/>
            </w:pPr>
            <w:r>
              <w:rPr>
                <w:b w:val="false"/>
                <w:bCs w:val="false"/>
                <w:color w:val="000000"/>
              </w:rPr>
              <w:t xml:space="preserve">94.53</w:t>
            </w:r>
          </w:p>
        </w:tc>
        <w:tc>
          <w:tcPr>
            <w:tcW w:type="dxa" w:w="1700"/>
            <w:shd w:fill="F2F6FA" w:val="clear"/>
            <w:tcMar>
              <w:top w:type="dxa" w:w="80"/>
              <w:left w:type="dxa" w:w="100"/>
              <w:bottom w:type="dxa" w:w="80"/>
              <w:right w:type="dxa" w:w="100"/>
            </w:tcMar>
          </w:tcPr>
          <w:p>
            <w:pPr>
              <w:jc w:val="center"/>
            </w:pPr>
            <w:r>
              <w:rPr>
                <w:b w:val="false"/>
                <w:bCs w:val="false"/>
                <w:color w:val="000000"/>
              </w:rPr>
              <w:t xml:space="preserve">23.50%</w:t>
            </w:r>
          </w:p>
        </w:tc>
        <w:tc>
          <w:tcPr>
            <w:tcW w:type="dxa" w:w="1700"/>
            <w:shd w:fill="F2F6FA" w:val="clear"/>
            <w:tcMar>
              <w:top w:type="dxa" w:w="80"/>
              <w:left w:type="dxa" w:w="100"/>
              <w:bottom w:type="dxa" w:w="80"/>
              <w:right w:type="dxa" w:w="100"/>
            </w:tcMar>
          </w:tcPr>
          <w:p>
            <w:pPr>
              <w:jc w:val="center"/>
            </w:pPr>
            <w:r>
              <w:rPr>
                <w:b w:val="false"/>
                <w:bCs w:val="false"/>
                <w:color w:val="000000"/>
              </w:rPr>
              <w:t xml:space="preserve">220</w:t>
            </w:r>
          </w:p>
        </w:tc>
        <w:tc>
          <w:tcPr>
            <w:tcW w:type="dxa" w:w="1900"/>
            <w:shd w:fill="F2F6FA" w:val="clear"/>
            <w:tcMar>
              <w:top w:type="dxa" w:w="80"/>
              <w:left w:type="dxa" w:w="100"/>
              <w:bottom w:type="dxa" w:w="80"/>
              <w:right w:type="dxa" w:w="100"/>
            </w:tcMar>
          </w:tcPr>
          <w:p>
            <w:pPr>
              <w:jc w:val="center"/>
            </w:pPr>
            <w:r>
              <w:rPr>
                <w:b w:val="false"/>
                <w:bCs w:val="false"/>
                <w:color w:val="000000"/>
              </w:rPr>
              <w:t xml:space="preserve">42,968</w:t>
            </w:r>
          </w:p>
        </w:tc>
      </w:tr>
      <w:tr>
        <w:tc>
          <w:tcPr>
            <w:tcW w:type="dxa" w:w="1700"/>
            <w:shd w:fill="FFFFFF" w:val="clear"/>
            <w:tcMar>
              <w:top w:type="dxa" w:w="80"/>
              <w:left w:type="dxa" w:w="100"/>
              <w:bottom w:type="dxa" w:w="80"/>
              <w:right w:type="dxa" w:w="100"/>
            </w:tcMar>
          </w:tcPr>
          <w:p>
            <w:pPr>
              <w:jc w:val="left"/>
            </w:pPr>
            <w:r>
              <w:rPr>
                <w:b w:val="false"/>
                <w:bCs w:val="false"/>
                <w:color w:val="000000"/>
              </w:rPr>
              <w:t xml:space="preserve">48–57</w:t>
            </w:r>
          </w:p>
        </w:tc>
        <w:tc>
          <w:tcPr>
            <w:tcW w:type="dxa" w:w="1900"/>
            <w:shd w:fill="FFFFFF" w:val="clear"/>
            <w:tcMar>
              <w:top w:type="dxa" w:w="80"/>
              <w:left w:type="dxa" w:w="100"/>
              <w:bottom w:type="dxa" w:w="80"/>
              <w:right w:type="dxa" w:w="100"/>
            </w:tcMar>
          </w:tcPr>
          <w:p>
            <w:pPr>
              <w:jc w:val="center"/>
            </w:pPr>
            <w:r>
              <w:rPr>
                <w:b w:val="false"/>
                <w:bCs w:val="false"/>
                <w:color w:val="000000"/>
              </w:rPr>
              <w:t xml:space="preserve">94.63</w:t>
            </w:r>
          </w:p>
        </w:tc>
        <w:tc>
          <w:tcPr>
            <w:tcW w:type="dxa" w:w="1700"/>
            <w:shd w:fill="FFFFFF" w:val="clear"/>
            <w:tcMar>
              <w:top w:type="dxa" w:w="80"/>
              <w:left w:type="dxa" w:w="100"/>
              <w:bottom w:type="dxa" w:w="80"/>
              <w:right w:type="dxa" w:w="100"/>
            </w:tcMar>
          </w:tcPr>
          <w:p>
            <w:pPr>
              <w:jc w:val="center"/>
            </w:pPr>
            <w:r>
              <w:rPr>
                <w:b w:val="false"/>
                <w:bCs w:val="false"/>
                <w:color w:val="000000"/>
              </w:rPr>
              <w:t xml:space="preserve">23.53%</w:t>
            </w:r>
          </w:p>
        </w:tc>
        <w:tc>
          <w:tcPr>
            <w:tcW w:type="dxa" w:w="1700"/>
            <w:shd w:fill="FFFFFF" w:val="clear"/>
            <w:tcMar>
              <w:top w:type="dxa" w:w="80"/>
              <w:left w:type="dxa" w:w="100"/>
              <w:bottom w:type="dxa" w:w="80"/>
              <w:right w:type="dxa" w:w="100"/>
            </w:tcMar>
          </w:tcPr>
          <w:p>
            <w:pPr>
              <w:jc w:val="center"/>
            </w:pPr>
            <w:r>
              <w:rPr>
                <w:b w:val="false"/>
                <w:bCs w:val="false"/>
                <w:color w:val="000000"/>
              </w:rPr>
              <w:t xml:space="preserve">209</w:t>
            </w:r>
          </w:p>
        </w:tc>
        <w:tc>
          <w:tcPr>
            <w:tcW w:type="dxa" w:w="1900"/>
            <w:shd w:fill="FFFFFF" w:val="clear"/>
            <w:tcMar>
              <w:top w:type="dxa" w:w="80"/>
              <w:left w:type="dxa" w:w="100"/>
              <w:bottom w:type="dxa" w:w="80"/>
              <w:right w:type="dxa" w:w="100"/>
            </w:tcMar>
          </w:tcPr>
          <w:p>
            <w:pPr>
              <w:jc w:val="center"/>
            </w:pPr>
            <w:r>
              <w:rPr>
                <w:b w:val="false"/>
                <w:bCs w:val="false"/>
                <w:color w:val="000000"/>
              </w:rPr>
              <w:t xml:space="preserve">45,279</w:t>
            </w:r>
          </w:p>
        </w:tc>
      </w:tr>
      <w:tr>
        <w:tc>
          <w:tcPr>
            <w:tcW w:type="dxa" w:w="1700"/>
            <w:shd w:fill="F2F6FA" w:val="clear"/>
            <w:tcMar>
              <w:top w:type="dxa" w:w="80"/>
              <w:left w:type="dxa" w:w="100"/>
              <w:bottom w:type="dxa" w:w="80"/>
              <w:right w:type="dxa" w:w="100"/>
            </w:tcMar>
          </w:tcPr>
          <w:p>
            <w:pPr>
              <w:jc w:val="left"/>
            </w:pPr>
            <w:r>
              <w:rPr>
                <w:b w:val="false"/>
                <w:bCs w:val="false"/>
                <w:color w:val="000000"/>
              </w:rPr>
              <w:t xml:space="preserve">58–65</w:t>
            </w:r>
          </w:p>
        </w:tc>
        <w:tc>
          <w:tcPr>
            <w:tcW w:type="dxa" w:w="1900"/>
            <w:shd w:fill="F2F6FA" w:val="clear"/>
            <w:tcMar>
              <w:top w:type="dxa" w:w="80"/>
              <w:left w:type="dxa" w:w="100"/>
              <w:bottom w:type="dxa" w:w="80"/>
              <w:right w:type="dxa" w:w="100"/>
            </w:tcMar>
          </w:tcPr>
          <w:p>
            <w:pPr>
              <w:jc w:val="center"/>
            </w:pPr>
            <w:r>
              <w:rPr>
                <w:b w:val="false"/>
                <w:bCs w:val="false"/>
                <w:color w:val="000000"/>
              </w:rPr>
              <w:t xml:space="preserve">62.81</w:t>
            </w:r>
          </w:p>
        </w:tc>
        <w:tc>
          <w:tcPr>
            <w:tcW w:type="dxa" w:w="1700"/>
            <w:shd w:fill="F2F6FA" w:val="clear"/>
            <w:tcMar>
              <w:top w:type="dxa" w:w="80"/>
              <w:left w:type="dxa" w:w="100"/>
              <w:bottom w:type="dxa" w:w="80"/>
              <w:right w:type="dxa" w:w="100"/>
            </w:tcMar>
          </w:tcPr>
          <w:p>
            <w:pPr>
              <w:jc w:val="center"/>
            </w:pPr>
            <w:r>
              <w:rPr>
                <w:b w:val="false"/>
                <w:bCs w:val="false"/>
                <w:color w:val="000000"/>
              </w:rPr>
              <w:t xml:space="preserve">15.62%</w:t>
            </w:r>
          </w:p>
        </w:tc>
        <w:tc>
          <w:tcPr>
            <w:tcW w:type="dxa" w:w="1700"/>
            <w:shd w:fill="F2F6FA" w:val="clear"/>
            <w:tcMar>
              <w:top w:type="dxa" w:w="80"/>
              <w:left w:type="dxa" w:w="100"/>
              <w:bottom w:type="dxa" w:w="80"/>
              <w:right w:type="dxa" w:w="100"/>
            </w:tcMar>
          </w:tcPr>
          <w:p>
            <w:pPr>
              <w:jc w:val="center"/>
            </w:pPr>
            <w:r>
              <w:rPr>
                <w:b w:val="false"/>
                <w:bCs w:val="false"/>
                <w:color w:val="000000"/>
              </w:rPr>
              <w:t xml:space="preserve">151</w:t>
            </w:r>
          </w:p>
        </w:tc>
        <w:tc>
          <w:tcPr>
            <w:tcW w:type="dxa" w:w="1900"/>
            <w:shd w:fill="F2F6FA" w:val="clear"/>
            <w:tcMar>
              <w:top w:type="dxa" w:w="80"/>
              <w:left w:type="dxa" w:w="100"/>
              <w:bottom w:type="dxa" w:w="80"/>
              <w:right w:type="dxa" w:w="100"/>
            </w:tcMar>
          </w:tcPr>
          <w:p>
            <w:pPr>
              <w:jc w:val="center"/>
            </w:pPr>
            <w:r>
              <w:rPr>
                <w:b w:val="false"/>
                <w:bCs w:val="false"/>
                <w:color w:val="000000"/>
              </w:rPr>
              <w:t xml:space="preserve">41,596</w:t>
            </w:r>
          </w:p>
        </w:tc>
      </w:tr>
    </w:tbl>
    <w:p>
      <w:pPr>
        <w:spacing w:after="80" w:before="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444444"/>
          <w:sz w:val="20"/>
          <w:szCs w:val="20"/>
        </w:rPr>
        <w:t xml:space="preserve">Figure 7: Revenue contribution by customer age group</w:t>
      </w:r>
    </w:p>
    <w:tbl>
      <w:tblPr>
        <w:tblW w:type="dxa" w:w="8900"/>
        <w:tblBorders>
          <w:top w:val="single" w:color="B7C6D9" w:sz="4"/>
          <w:left w:val="single" w:color="B7C6D9" w:sz="4"/>
          <w:bottom w:val="single" w:color="B7C6D9" w:sz="4"/>
          <w:right w:val="single" w:color="B7C6D9" w:sz="4"/>
          <w:insideH w:val="single" w:color="D6E0EA" w:sz="2"/>
          <w:insideV w:val="single" w:color="D6E0EA" w:sz="2"/>
        </w:tblBorders>
      </w:tblPr>
      <w:tblGrid>
        <w:gridCol w:w="1700"/>
        <w:gridCol w:w="1900"/>
        <w:gridCol w:w="1700"/>
        <w:gridCol w:w="1700"/>
        <w:gridCol w:w="1900"/>
      </w:tblGrid>
      <w:tr>
        <w:trPr>
          <w:tblHeader/>
        </w:trPr>
        <w:tc>
          <w:tcPr>
            <w:tcW w:type="dxa" w:w="1700"/>
            <w:shd w:fill="1F4E79" w:val="clear"/>
            <w:tcMar>
              <w:top w:type="dxa" w:w="80"/>
              <w:left w:type="dxa" w:w="100"/>
              <w:bottom w:type="dxa" w:w="80"/>
              <w:right w:type="dxa" w:w="100"/>
            </w:tcMar>
          </w:tcPr>
          <w:p>
            <w:pPr>
              <w:jc w:val="center"/>
            </w:pPr>
            <w:r>
              <w:rPr>
                <w:b/>
                <w:bCs/>
                <w:color w:val="FFFFFF"/>
              </w:rPr>
              <w:t xml:space="preserve">Gender</w:t>
            </w:r>
          </w:p>
        </w:tc>
        <w:tc>
          <w:tcPr>
            <w:tcW w:type="dxa" w:w="1900"/>
            <w:shd w:fill="1F4E79" w:val="clear"/>
            <w:tcMar>
              <w:top w:type="dxa" w:w="80"/>
              <w:left w:type="dxa" w:w="100"/>
              <w:bottom w:type="dxa" w:w="80"/>
              <w:right w:type="dxa" w:w="100"/>
            </w:tcMar>
          </w:tcPr>
          <w:p>
            <w:pPr>
              <w:jc w:val="center"/>
            </w:pPr>
            <w:r>
              <w:rPr>
                <w:b/>
                <w:bCs/>
                <w:color w:val="FFFFFF"/>
              </w:rPr>
              <w:t xml:space="preserve">Revenue (₹ Lakh)</w:t>
            </w:r>
          </w:p>
        </w:tc>
        <w:tc>
          <w:tcPr>
            <w:tcW w:type="dxa" w:w="1700"/>
            <w:shd w:fill="1F4E79" w:val="clear"/>
            <w:tcMar>
              <w:top w:type="dxa" w:w="80"/>
              <w:left w:type="dxa" w:w="100"/>
              <w:bottom w:type="dxa" w:w="80"/>
              <w:right w:type="dxa" w:w="100"/>
            </w:tcMar>
          </w:tcPr>
          <w:p>
            <w:pPr>
              <w:jc w:val="center"/>
            </w:pPr>
            <w:r>
              <w:rPr>
                <w:b/>
                <w:bCs/>
                <w:color w:val="FFFFFF"/>
              </w:rPr>
              <w:t xml:space="preserve">Revenue Share</w:t>
            </w:r>
          </w:p>
        </w:tc>
        <w:tc>
          <w:tcPr>
            <w:tcW w:type="dxa" w:w="1700"/>
            <w:shd w:fill="1F4E79" w:val="clear"/>
            <w:tcMar>
              <w:top w:type="dxa" w:w="80"/>
              <w:left w:type="dxa" w:w="100"/>
              <w:bottom w:type="dxa" w:w="80"/>
              <w:right w:type="dxa" w:w="100"/>
            </w:tcMar>
          </w:tcPr>
          <w:p>
            <w:pPr>
              <w:jc w:val="center"/>
            </w:pPr>
            <w:r>
              <w:rPr>
                <w:b/>
                <w:bCs/>
                <w:color w:val="FFFFFF"/>
              </w:rPr>
              <w:t xml:space="preserve">Transactions</w:t>
            </w:r>
          </w:p>
        </w:tc>
        <w:tc>
          <w:tcPr>
            <w:tcW w:type="dxa" w:w="1900"/>
            <w:shd w:fill="1F4E79" w:val="clear"/>
            <w:tcMar>
              <w:top w:type="dxa" w:w="80"/>
              <w:left w:type="dxa" w:w="100"/>
              <w:bottom w:type="dxa" w:w="80"/>
              <w:right w:type="dxa" w:w="100"/>
            </w:tcMar>
          </w:tcPr>
          <w:p>
            <w:pPr>
              <w:jc w:val="center"/>
            </w:pPr>
            <w:r>
              <w:rPr>
                <w:b/>
                <w:bCs/>
                <w:color w:val="FFFFFF"/>
              </w:rPr>
              <w:t xml:space="preserve">Avg. Spend (₹)</w:t>
            </w:r>
          </w:p>
        </w:tc>
      </w:tr>
      <w:tr>
        <w:tc>
          <w:tcPr>
            <w:tcW w:type="dxa" w:w="1700"/>
            <w:shd w:fill="F2F6FA" w:val="clear"/>
            <w:tcMar>
              <w:top w:type="dxa" w:w="80"/>
              <w:left w:type="dxa" w:w="100"/>
              <w:bottom w:type="dxa" w:w="80"/>
              <w:right w:type="dxa" w:w="100"/>
            </w:tcMar>
          </w:tcPr>
          <w:p>
            <w:pPr>
              <w:jc w:val="left"/>
            </w:pPr>
            <w:r>
              <w:rPr>
                <w:b w:val="false"/>
                <w:bCs w:val="false"/>
                <w:color w:val="000000"/>
              </w:rPr>
              <w:t xml:space="preserve">Female</w:t>
            </w:r>
          </w:p>
        </w:tc>
        <w:tc>
          <w:tcPr>
            <w:tcW w:type="dxa" w:w="1900"/>
            <w:shd w:fill="F2F6FA" w:val="clear"/>
            <w:tcMar>
              <w:top w:type="dxa" w:w="80"/>
              <w:left w:type="dxa" w:w="100"/>
              <w:bottom w:type="dxa" w:w="80"/>
              <w:right w:type="dxa" w:w="100"/>
            </w:tcMar>
          </w:tcPr>
          <w:p>
            <w:pPr>
              <w:jc w:val="center"/>
            </w:pPr>
            <w:r>
              <w:rPr>
                <w:b w:val="false"/>
                <w:bCs w:val="false"/>
                <w:color w:val="000000"/>
              </w:rPr>
              <w:t xml:space="preserve">134.71</w:t>
            </w:r>
          </w:p>
        </w:tc>
        <w:tc>
          <w:tcPr>
            <w:tcW w:type="dxa" w:w="1700"/>
            <w:shd w:fill="F2F6FA" w:val="clear"/>
            <w:tcMar>
              <w:top w:type="dxa" w:w="80"/>
              <w:left w:type="dxa" w:w="100"/>
              <w:bottom w:type="dxa" w:w="80"/>
              <w:right w:type="dxa" w:w="100"/>
            </w:tcMar>
          </w:tcPr>
          <w:p>
            <w:pPr>
              <w:jc w:val="center"/>
            </w:pPr>
            <w:r>
              <w:rPr>
                <w:b w:val="false"/>
                <w:bCs w:val="false"/>
                <w:color w:val="000000"/>
              </w:rPr>
              <w:t xml:space="preserve">33.49%</w:t>
            </w:r>
          </w:p>
        </w:tc>
        <w:tc>
          <w:tcPr>
            <w:tcW w:type="dxa" w:w="1700"/>
            <w:shd w:fill="F2F6FA" w:val="clear"/>
            <w:tcMar>
              <w:top w:type="dxa" w:w="80"/>
              <w:left w:type="dxa" w:w="100"/>
              <w:bottom w:type="dxa" w:w="80"/>
              <w:right w:type="dxa" w:w="100"/>
            </w:tcMar>
          </w:tcPr>
          <w:p>
            <w:pPr>
              <w:jc w:val="center"/>
            </w:pPr>
            <w:r>
              <w:rPr>
                <w:b w:val="false"/>
                <w:bCs w:val="false"/>
                <w:color w:val="000000"/>
              </w:rPr>
              <w:t xml:space="preserve">341</w:t>
            </w:r>
          </w:p>
        </w:tc>
        <w:tc>
          <w:tcPr>
            <w:tcW w:type="dxa" w:w="1900"/>
            <w:shd w:fill="F2F6FA" w:val="clear"/>
            <w:tcMar>
              <w:top w:type="dxa" w:w="80"/>
              <w:left w:type="dxa" w:w="100"/>
              <w:bottom w:type="dxa" w:w="80"/>
              <w:right w:type="dxa" w:w="100"/>
            </w:tcMar>
          </w:tcPr>
          <w:p>
            <w:pPr>
              <w:jc w:val="center"/>
            </w:pPr>
            <w:r>
              <w:rPr>
                <w:b w:val="false"/>
                <w:bCs w:val="false"/>
                <w:color w:val="000000"/>
              </w:rPr>
              <w:t xml:space="preserve">39,504</w:t>
            </w:r>
          </w:p>
        </w:tc>
      </w:tr>
      <w:tr>
        <w:tc>
          <w:tcPr>
            <w:tcW w:type="dxa" w:w="1700"/>
            <w:shd w:fill="FFFFFF" w:val="clear"/>
            <w:tcMar>
              <w:top w:type="dxa" w:w="80"/>
              <w:left w:type="dxa" w:w="100"/>
              <w:bottom w:type="dxa" w:w="80"/>
              <w:right w:type="dxa" w:w="100"/>
            </w:tcMar>
          </w:tcPr>
          <w:p>
            <w:pPr>
              <w:jc w:val="left"/>
            </w:pPr>
            <w:r>
              <w:rPr>
                <w:b w:val="false"/>
                <w:bCs w:val="false"/>
                <w:color w:val="000000"/>
              </w:rPr>
              <w:t xml:space="preserve">Male</w:t>
            </w:r>
          </w:p>
        </w:tc>
        <w:tc>
          <w:tcPr>
            <w:tcW w:type="dxa" w:w="1900"/>
            <w:shd w:fill="FFFFFF" w:val="clear"/>
            <w:tcMar>
              <w:top w:type="dxa" w:w="80"/>
              <w:left w:type="dxa" w:w="100"/>
              <w:bottom w:type="dxa" w:w="80"/>
              <w:right w:type="dxa" w:w="100"/>
            </w:tcMar>
          </w:tcPr>
          <w:p>
            <w:pPr>
              <w:jc w:val="center"/>
            </w:pPr>
            <w:r>
              <w:rPr>
                <w:b w:val="false"/>
                <w:bCs w:val="false"/>
                <w:color w:val="000000"/>
              </w:rPr>
              <w:t xml:space="preserve">132.80</w:t>
            </w:r>
          </w:p>
        </w:tc>
        <w:tc>
          <w:tcPr>
            <w:tcW w:type="dxa" w:w="1700"/>
            <w:shd w:fill="FFFFFF" w:val="clear"/>
            <w:tcMar>
              <w:top w:type="dxa" w:w="80"/>
              <w:left w:type="dxa" w:w="100"/>
              <w:bottom w:type="dxa" w:w="80"/>
              <w:right w:type="dxa" w:w="100"/>
            </w:tcMar>
          </w:tcPr>
          <w:p>
            <w:pPr>
              <w:jc w:val="center"/>
            </w:pPr>
            <w:r>
              <w:rPr>
                <w:b w:val="false"/>
                <w:bCs w:val="false"/>
                <w:color w:val="000000"/>
              </w:rPr>
              <w:t xml:space="preserve">33.02%</w:t>
            </w:r>
          </w:p>
        </w:tc>
        <w:tc>
          <w:tcPr>
            <w:tcW w:type="dxa" w:w="1700"/>
            <w:shd w:fill="FFFFFF" w:val="clear"/>
            <w:tcMar>
              <w:top w:type="dxa" w:w="80"/>
              <w:left w:type="dxa" w:w="100"/>
              <w:bottom w:type="dxa" w:w="80"/>
              <w:right w:type="dxa" w:w="100"/>
            </w:tcMar>
          </w:tcPr>
          <w:p>
            <w:pPr>
              <w:jc w:val="center"/>
            </w:pPr>
            <w:r>
              <w:rPr>
                <w:b w:val="false"/>
                <w:bCs w:val="false"/>
                <w:color w:val="000000"/>
              </w:rPr>
              <w:t xml:space="preserve">320</w:t>
            </w:r>
          </w:p>
        </w:tc>
        <w:tc>
          <w:tcPr>
            <w:tcW w:type="dxa" w:w="1900"/>
            <w:shd w:fill="FFFFFF" w:val="clear"/>
            <w:tcMar>
              <w:top w:type="dxa" w:w="80"/>
              <w:left w:type="dxa" w:w="100"/>
              <w:bottom w:type="dxa" w:w="80"/>
              <w:right w:type="dxa" w:w="100"/>
            </w:tcMar>
          </w:tcPr>
          <w:p>
            <w:pPr>
              <w:jc w:val="center"/>
            </w:pPr>
            <w:r>
              <w:rPr>
                <w:b w:val="false"/>
                <w:bCs w:val="false"/>
                <w:color w:val="000000"/>
              </w:rPr>
              <w:t xml:space="preserve">41,499</w:t>
            </w:r>
          </w:p>
        </w:tc>
      </w:tr>
      <w:tr>
        <w:tc>
          <w:tcPr>
            <w:tcW w:type="dxa" w:w="1700"/>
            <w:shd w:fill="F2F6FA" w:val="clear"/>
            <w:tcMar>
              <w:top w:type="dxa" w:w="80"/>
              <w:left w:type="dxa" w:w="100"/>
              <w:bottom w:type="dxa" w:w="80"/>
              <w:right w:type="dxa" w:w="100"/>
            </w:tcMar>
          </w:tcPr>
          <w:p>
            <w:pPr>
              <w:jc w:val="left"/>
            </w:pPr>
            <w:r>
              <w:rPr>
                <w:b w:val="false"/>
                <w:bCs w:val="false"/>
                <w:color w:val="000000"/>
              </w:rPr>
              <w:t xml:space="preserve">Other</w:t>
            </w:r>
          </w:p>
        </w:tc>
        <w:tc>
          <w:tcPr>
            <w:tcW w:type="dxa" w:w="1900"/>
            <w:shd w:fill="F2F6FA" w:val="clear"/>
            <w:tcMar>
              <w:top w:type="dxa" w:w="80"/>
              <w:left w:type="dxa" w:w="100"/>
              <w:bottom w:type="dxa" w:w="80"/>
              <w:right w:type="dxa" w:w="100"/>
            </w:tcMar>
          </w:tcPr>
          <w:p>
            <w:pPr>
              <w:jc w:val="center"/>
            </w:pPr>
            <w:r>
              <w:rPr>
                <w:b w:val="false"/>
                <w:bCs w:val="false"/>
                <w:color w:val="000000"/>
              </w:rPr>
              <w:t xml:space="preserve">134.68</w:t>
            </w:r>
          </w:p>
        </w:tc>
        <w:tc>
          <w:tcPr>
            <w:tcW w:type="dxa" w:w="1700"/>
            <w:shd w:fill="F2F6FA" w:val="clear"/>
            <w:tcMar>
              <w:top w:type="dxa" w:w="80"/>
              <w:left w:type="dxa" w:w="100"/>
              <w:bottom w:type="dxa" w:w="80"/>
              <w:right w:type="dxa" w:w="100"/>
            </w:tcMar>
          </w:tcPr>
          <w:p>
            <w:pPr>
              <w:jc w:val="center"/>
            </w:pPr>
            <w:r>
              <w:rPr>
                <w:b w:val="false"/>
                <w:bCs w:val="false"/>
                <w:color w:val="000000"/>
              </w:rPr>
              <w:t xml:space="preserve">33.49%</w:t>
            </w:r>
          </w:p>
        </w:tc>
        <w:tc>
          <w:tcPr>
            <w:tcW w:type="dxa" w:w="1700"/>
            <w:shd w:fill="F2F6FA" w:val="clear"/>
            <w:tcMar>
              <w:top w:type="dxa" w:w="80"/>
              <w:left w:type="dxa" w:w="100"/>
              <w:bottom w:type="dxa" w:w="80"/>
              <w:right w:type="dxa" w:w="100"/>
            </w:tcMar>
          </w:tcPr>
          <w:p>
            <w:pPr>
              <w:jc w:val="center"/>
            </w:pPr>
            <w:r>
              <w:rPr>
                <w:b w:val="false"/>
                <w:bCs w:val="false"/>
                <w:color w:val="000000"/>
              </w:rPr>
              <w:t xml:space="preserve">339</w:t>
            </w:r>
          </w:p>
        </w:tc>
        <w:tc>
          <w:tcPr>
            <w:tcW w:type="dxa" w:w="1900"/>
            <w:shd w:fill="F2F6FA" w:val="clear"/>
            <w:tcMar>
              <w:top w:type="dxa" w:w="80"/>
              <w:left w:type="dxa" w:w="100"/>
              <w:bottom w:type="dxa" w:w="80"/>
              <w:right w:type="dxa" w:w="100"/>
            </w:tcMar>
          </w:tcPr>
          <w:p>
            <w:pPr>
              <w:jc w:val="center"/>
            </w:pPr>
            <w:r>
              <w:rPr>
                <w:b w:val="false"/>
                <w:bCs w:val="false"/>
                <w:color w:val="000000"/>
              </w:rPr>
              <w:t xml:space="preserve">39,728</w:t>
            </w:r>
          </w:p>
        </w:tc>
      </w:tr>
    </w:tbl>
    <w:p>
      <w:pPr>
        <w:spacing w:after="80" w:before="200"/>
        <w:jc w:val="center"/>
      </w:pPr>
      <w:r>
        <w:drawing>
          <wp:inline distT="0" distB="0" distL="0" distR="0">
            <wp:extent cx="3619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3019425"/>
                    </a:xfrm>
                    <a:prstGeom prst="rect">
                      <a:avLst/>
                    </a:prstGeom>
                  </pic:spPr>
                </pic:pic>
              </a:graphicData>
            </a:graphic>
          </wp:inline>
        </w:drawing>
      </w:r>
    </w:p>
    <w:p>
      <w:pPr>
        <w:spacing w:after="240"/>
        <w:jc w:val="center"/>
      </w:pPr>
      <w:r>
        <w:rPr>
          <w:i/>
          <w:iCs/>
          <w:color w:val="444444"/>
          <w:sz w:val="20"/>
          <w:szCs w:val="20"/>
        </w:rPr>
        <w:t xml:space="preserve">Figure 8: Revenue contribution by customer gender</w:t>
      </w:r>
    </w:p>
    <w:p>
      <w:pPr>
        <w:spacing w:after="80" w:before="200"/>
        <w:jc w:val="center"/>
      </w:pPr>
      <w:r>
        <w:drawing>
          <wp:inline distT="0" distB="0" distL="0" distR="0">
            <wp:extent cx="4572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3267075"/>
                    </a:xfrm>
                    <a:prstGeom prst="rect">
                      <a:avLst/>
                    </a:prstGeom>
                  </pic:spPr>
                </pic:pic>
              </a:graphicData>
            </a:graphic>
          </wp:inline>
        </w:drawing>
      </w:r>
    </w:p>
    <w:p>
      <w:pPr>
        <w:spacing w:after="240"/>
        <w:jc w:val="center"/>
      </w:pPr>
      <w:r>
        <w:rPr>
          <w:i/>
          <w:iCs/>
          <w:color w:val="444444"/>
          <w:sz w:val="20"/>
          <w:szCs w:val="20"/>
        </w:rPr>
        <w:t xml:space="preserve">Figure 9: Revenue (₹ Lakh) by age group and gender</w:t>
      </w:r>
    </w:p>
    <w:p>
      <w:pPr>
        <w:spacing w:after="160"/>
      </w:pPr>
      <w:r>
        <w:t xml:space="preserve">The 38–47 and 48–57 age bands are the two largest revenue contributors, together generating 47.0% of total revenue despite representing only 42.9% of transactions — they also have the highest average spend per transaction (₹42,968 and ₹45,279 respectively). The 58–65 group contributes the least, both in absolute revenue (15.6%) and average spend, and also has noticeably fewer transactions (151 vs. 209–220 for other groups), suggesting weaker engagement from older customers. Revenue is almost perfectly evenly split across the three gender categories (33.0–33.5% each), indicating gender is not a meaningfully differentiating factor for this business.</w:t>
      </w:r>
    </w:p>
    <w:p>
      <w:pPr>
        <w:spacing w:after="160"/>
      </w:pPr>
      <w:r>
        <w:t xml:space="preserve">The age-by-gender breakdown (Figure 9) shows the single largest combination is 48–57/Other (₹40.25 lakh), while the smallest meaningful combinations cluster in the 58–65 group across all genders — reinforcing that age, not gender, is the primary demographic driver of revenue concentration.</w:t>
      </w:r>
    </w:p>
    <w:p>
      <w:pPr>
        <w:pStyle w:val="Heading2"/>
        <w:spacing w:after="140" w:before="280"/>
      </w:pPr>
      <w:r>
        <w:t xml:space="preserve">5.4 Correlation Analysis</w:t>
      </w:r>
    </w:p>
    <w:p>
      <w:pPr>
        <w:spacing w:after="80" w:before="200"/>
        <w:jc w:val="center"/>
      </w:pPr>
      <w:r>
        <w:drawing>
          <wp:inline distT="0" distB="0" distL="0" distR="0">
            <wp:extent cx="4000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3333750"/>
                    </a:xfrm>
                    <a:prstGeom prst="rect">
                      <a:avLst/>
                    </a:prstGeom>
                  </pic:spPr>
                </pic:pic>
              </a:graphicData>
            </a:graphic>
          </wp:inline>
        </w:drawing>
      </w:r>
    </w:p>
    <w:p>
      <w:pPr>
        <w:spacing w:after="240"/>
        <w:jc w:val="center"/>
      </w:pPr>
      <w:r>
        <w:rPr>
          <w:i/>
          <w:iCs/>
          <w:color w:val="444444"/>
          <w:sz w:val="20"/>
          <w:szCs w:val="20"/>
        </w:rPr>
        <w:t xml:space="preserve">Figure 10: Correlation matrix — Price, Units Sold, Total Revenue, Customer Age</w:t>
      </w:r>
    </w:p>
    <w:p>
      <w:pPr>
        <w:spacing w:after="160"/>
      </w:pPr>
      <w:r>
        <w:t xml:space="preserve">All pairwise correlations among Price, UnitsSold, TotalRevenue and CustomerAge are close to zero (largest magnitude: 0.10, between CustomerAge and TotalRevenue). This indicates no meaningful linear relationship between these variables — customers of a given age are not systematically buying higher- or lower-priced devices, and revenue is not driven by unit price or quantity in this dataset. This is consistent with the Section 3.4 finding that TotalRevenue was generated independently of Price and UnitsSold, and means that price-based interventions alone (e.g., discounting) are unlikely, on this evidence, to be an effective lever for reversing the revenue decline; the channel- and age-based factors identified in Sections 5.2 and 5.3 are the more actionable levers.</w:t>
      </w:r>
    </w:p>
    <w:p>
      <w:pPr>
        <w:pStyle w:val="Heading1"/>
        <w:spacing w:after="200" w:before="400"/>
      </w:pPr>
      <w:r>
        <w:t xml:space="preserve">6. Interpretation of Results and Recommendations</w:t>
      </w:r>
    </w:p>
    <w:p>
      <w:pPr>
        <w:pStyle w:val="Heading2"/>
        <w:spacing w:after="140" w:before="280"/>
      </w:pPr>
      <w:r>
        <w:t xml:space="preserve">6.1 Interpretation</w:t>
      </w:r>
    </w:p>
    <w:p>
      <w:pPr>
        <w:spacing w:after="160"/>
      </w:pPr>
      <w:r>
        <w:t xml:space="preserve">Triangulating the three analyses, the picture that emerges is: the headline 19.3% revenue fall is partly a data-coverage artifact (the partial July month), but even after adjusting for this, revenue has been flat-to-mildly-declining since February, and the decline that does exist is concentrated rather than broad-based. Specifically, it is concentrated in the Debit Card channel (-35.8%) and, to a lesser extent, Credit Card (-23.9%) and Online (-15.3%), while Cash has held up. It is also concentrated by customer age, with the 58–65 segment both the smallest revenue contributor and the one with the fewest transactions, suggesting an engagement or retention gap with older customers rather than a general market-wide downturn.</w:t>
      </w:r>
    </w:p>
    <w:p>
      <w:pPr>
        <w:spacing w:after="160"/>
      </w:pPr>
      <w:r>
        <w:t xml:space="preserve">Because price, unit price, and units sold show no correlation with revenue or customer age, the business's problem is unlikely to be a pricing problem; it is more plausibly a channel-experience and customer-retention problem concentrated in specific segments.</w:t>
      </w:r>
    </w:p>
    <w:p>
      <w:pPr>
        <w:pStyle w:val="Heading2"/>
        <w:spacing w:after="140" w:before="280"/>
      </w:pPr>
      <w:r>
        <w:t xml:space="preserve">6.2 Recommendations</w:t>
      </w:r>
    </w:p>
    <w:p>
      <w:pPr>
        <w:pStyle w:val="ListParagraph"/>
        <w:numPr>
          <w:ilvl w:val="0"/>
          <w:numId w:val="4"/>
        </w:numPr>
        <w:spacing w:after="80"/>
      </w:pPr>
      <w:r>
        <w:t xml:space="preserve">Correct for partial-month reporting: Before treating the July revenue fall as a genuine trend, the business should compare like-for-like periods (e.g., normalise by number of trading days or wait for a full month of July data) to avoid over-reacting to what may be largely a data-coverage effect.</w:t>
      </w:r>
    </w:p>
    <w:p>
      <w:pPr>
        <w:pStyle w:val="ListParagraph"/>
        <w:numPr>
          <w:ilvl w:val="0"/>
          <w:numId w:val="4"/>
        </w:numPr>
        <w:spacing w:after="80"/>
      </w:pPr>
      <w:r>
        <w:t xml:space="preserve">Investigate and address the Debit Card decline: Given Debit Card revenue fell 35.8% — the steepest of any channel — the business should audit the debit-card payment journey (gateway uptime, transaction failure rates, any discontinued cashback/offer) as the most likely lever to recover lost revenue.</w:t>
      </w:r>
    </w:p>
    <w:p>
      <w:pPr>
        <w:pStyle w:val="ListParagraph"/>
        <w:numPr>
          <w:ilvl w:val="0"/>
          <w:numId w:val="4"/>
        </w:numPr>
        <w:spacing w:after="80"/>
      </w:pPr>
      <w:r>
        <w:t xml:space="preserve">Shore up the Credit Card and Online channels with targeted offers: With both channels down 15–24%, time-bound cashback or EMI promotions on these channels could help arrest the decline, especially if channel-specific friction (rather than customer preference) is the cause.</w:t>
      </w:r>
    </w:p>
    <w:p>
      <w:pPr>
        <w:pStyle w:val="ListParagraph"/>
        <w:numPr>
          <w:ilvl w:val="0"/>
          <w:numId w:val="4"/>
        </w:numPr>
        <w:spacing w:after="80"/>
      </w:pPr>
      <w:r>
        <w:t xml:space="preserve">Protect and grow the Cash channel: Cash is the only channel that grew (+3.7%); in-store experience and staff-assisted sales appear to be a relative strength and should be maintained, and successful in-store practices could be adapted for digital channels.</w:t>
      </w:r>
    </w:p>
    <w:p>
      <w:pPr>
        <w:pStyle w:val="ListParagraph"/>
        <w:numPr>
          <w:ilvl w:val="0"/>
          <w:numId w:val="4"/>
        </w:numPr>
        <w:spacing w:after="80"/>
      </w:pPr>
      <w:r>
        <w:t xml:space="preserve">Prioritise retention marketing on the 38–57 age band: This band drives 47% of revenue with the highest average spend; loyalty programmes, upgrade offers, and personalised communication should be targeted here first for the best return on marketing spend.</w:t>
      </w:r>
    </w:p>
    <w:p>
      <w:pPr>
        <w:pStyle w:val="ListParagraph"/>
        <w:numPr>
          <w:ilvl w:val="0"/>
          <w:numId w:val="4"/>
        </w:numPr>
        <w:spacing w:after="80"/>
      </w:pPr>
      <w:r>
        <w:t xml:space="preserve">Design a re-engagement initiative for the 58–65 segment: With the fewest transactions and lowest revenue share, this segment may benefit from simplified digital payment options, assisted in-store service, or senior-citizen-specific offers to lift both transaction frequency and spend.</w:t>
      </w:r>
    </w:p>
    <w:p>
      <w:pPr>
        <w:pStyle w:val="ListParagraph"/>
        <w:numPr>
          <w:ilvl w:val="0"/>
          <w:numId w:val="4"/>
        </w:numPr>
        <w:spacing w:after="80"/>
      </w:pPr>
      <w:r>
        <w:t xml:space="preserve">Avoid price-led interventions as the primary lever: Since price and units sold show no correlation with revenue, broad discounting is unlikely to reverse the decline on its own; channel-experience and retention-focused interventions (points 2–6) are better supported by the data.</w:t>
      </w:r>
    </w:p>
    <w:p>
      <w:pPr>
        <w:pStyle w:val="Heading2"/>
        <w:spacing w:after="140" w:before="280"/>
      </w:pPr>
      <w:r>
        <w:t xml:space="preserve">6.3 Channel Performance Summary</w:t>
      </w:r>
    </w:p>
    <w:p>
      <w:pPr>
        <w:spacing w:after="160"/>
      </w:pPr>
      <w:r>
        <w:t xml:space="preserve">The table below consolidates the channel-level evidence from Section 5.2 into a single at-a-glance view, mapping each channel's trend to a priority level for management action.</w:t>
      </w:r>
    </w:p>
    <w:tbl>
      <w:tblPr>
        <w:tblW w:type="dxa" w:w="10200"/>
        <w:tblBorders>
          <w:top w:val="single" w:color="B7C6D9" w:sz="4"/>
          <w:left w:val="single" w:color="B7C6D9" w:sz="4"/>
          <w:bottom w:val="single" w:color="B7C6D9" w:sz="4"/>
          <w:right w:val="single" w:color="B7C6D9" w:sz="4"/>
          <w:insideH w:val="single" w:color="D6E0EA" w:sz="2"/>
          <w:insideV w:val="single" w:color="D6E0EA" w:sz="2"/>
        </w:tblBorders>
      </w:tblPr>
      <w:tblGrid>
        <w:gridCol w:w="1700"/>
        <w:gridCol w:w="2100"/>
        <w:gridCol w:w="1500"/>
        <w:gridCol w:w="3400"/>
        <w:gridCol w:w="1500"/>
      </w:tblGrid>
      <w:tr>
        <w:trPr>
          <w:tblHeader/>
        </w:trPr>
        <w:tc>
          <w:tcPr>
            <w:tcW w:type="dxa" w:w="1700"/>
            <w:shd w:fill="1F4E79" w:val="clear"/>
            <w:tcMar>
              <w:top w:type="dxa" w:w="80"/>
              <w:left w:type="dxa" w:w="100"/>
              <w:bottom w:type="dxa" w:w="80"/>
              <w:right w:type="dxa" w:w="100"/>
            </w:tcMar>
          </w:tcPr>
          <w:p>
            <w:pPr>
              <w:jc w:val="center"/>
            </w:pPr>
            <w:r>
              <w:rPr>
                <w:b/>
                <w:bCs/>
                <w:color w:val="FFFFFF"/>
              </w:rPr>
              <w:t xml:space="preserve">Channel</w:t>
            </w:r>
          </w:p>
        </w:tc>
        <w:tc>
          <w:tcPr>
            <w:tcW w:type="dxa" w:w="2100"/>
            <w:shd w:fill="1F4E79" w:val="clear"/>
            <w:tcMar>
              <w:top w:type="dxa" w:w="80"/>
              <w:left w:type="dxa" w:w="100"/>
              <w:bottom w:type="dxa" w:w="80"/>
              <w:right w:type="dxa" w:w="100"/>
            </w:tcMar>
          </w:tcPr>
          <w:p>
            <w:pPr>
              <w:jc w:val="center"/>
            </w:pPr>
            <w:r>
              <w:rPr>
                <w:b/>
                <w:bCs/>
                <w:color w:val="FFFFFF"/>
              </w:rPr>
              <w:t xml:space="preserve">Jan→Jul Trend</w:t>
            </w:r>
          </w:p>
        </w:tc>
        <w:tc>
          <w:tcPr>
            <w:tcW w:type="dxa" w:w="1500"/>
            <w:shd w:fill="1F4E79" w:val="clear"/>
            <w:tcMar>
              <w:top w:type="dxa" w:w="80"/>
              <w:left w:type="dxa" w:w="100"/>
              <w:bottom w:type="dxa" w:w="80"/>
              <w:right w:type="dxa" w:w="100"/>
            </w:tcMar>
          </w:tcPr>
          <w:p>
            <w:pPr>
              <w:jc w:val="center"/>
            </w:pPr>
            <w:r>
              <w:rPr>
                <w:b/>
                <w:bCs/>
                <w:color w:val="FFFFFF"/>
              </w:rPr>
              <w:t xml:space="preserve">Revenue Share</w:t>
            </w:r>
          </w:p>
        </w:tc>
        <w:tc>
          <w:tcPr>
            <w:tcW w:type="dxa" w:w="3400"/>
            <w:shd w:fill="1F4E79" w:val="clear"/>
            <w:tcMar>
              <w:top w:type="dxa" w:w="80"/>
              <w:left w:type="dxa" w:w="100"/>
              <w:bottom w:type="dxa" w:w="80"/>
              <w:right w:type="dxa" w:w="100"/>
            </w:tcMar>
          </w:tcPr>
          <w:p>
            <w:pPr>
              <w:jc w:val="center"/>
            </w:pPr>
            <w:r>
              <w:rPr>
                <w:b/>
                <w:bCs/>
                <w:color w:val="FFFFFF"/>
              </w:rPr>
              <w:t xml:space="preserve">Diagnosis</w:t>
            </w:r>
          </w:p>
        </w:tc>
        <w:tc>
          <w:tcPr>
            <w:tcW w:type="dxa" w:w="1500"/>
            <w:shd w:fill="1F4E79" w:val="clear"/>
            <w:tcMar>
              <w:top w:type="dxa" w:w="80"/>
              <w:left w:type="dxa" w:w="100"/>
              <w:bottom w:type="dxa" w:w="80"/>
              <w:right w:type="dxa" w:w="100"/>
            </w:tcMar>
          </w:tcPr>
          <w:p>
            <w:pPr>
              <w:jc w:val="center"/>
            </w:pPr>
            <w:r>
              <w:rPr>
                <w:b/>
                <w:bCs/>
                <w:color w:val="FFFFFF"/>
              </w:rPr>
              <w:t xml:space="preserve">Priority</w:t>
            </w:r>
          </w:p>
        </w:tc>
      </w:tr>
      <w:tr>
        <w:tc>
          <w:tcPr>
            <w:tcW w:type="dxa" w:w="1700"/>
            <w:shd w:fill="F2F6FA" w:val="clear"/>
            <w:tcMar>
              <w:top w:type="dxa" w:w="80"/>
              <w:left w:type="dxa" w:w="100"/>
              <w:bottom w:type="dxa" w:w="80"/>
              <w:right w:type="dxa" w:w="100"/>
            </w:tcMar>
          </w:tcPr>
          <w:p>
            <w:pPr>
              <w:jc w:val="left"/>
            </w:pPr>
            <w:r>
              <w:rPr>
                <w:b w:val="false"/>
                <w:bCs w:val="false"/>
                <w:color w:val="000000"/>
              </w:rPr>
              <w:t xml:space="preserve">Debit Card</w:t>
            </w:r>
          </w:p>
        </w:tc>
        <w:tc>
          <w:tcPr>
            <w:tcW w:type="dxa" w:w="2100"/>
            <w:shd w:fill="F2F6FA" w:val="clear"/>
            <w:tcMar>
              <w:top w:type="dxa" w:w="80"/>
              <w:left w:type="dxa" w:w="100"/>
              <w:bottom w:type="dxa" w:w="80"/>
              <w:right w:type="dxa" w:w="100"/>
            </w:tcMar>
          </w:tcPr>
          <w:p>
            <w:pPr>
              <w:jc w:val="center"/>
            </w:pPr>
            <w:r>
              <w:rPr>
                <w:b w:val="false"/>
                <w:bCs w:val="false"/>
                <w:color w:val="000000"/>
              </w:rPr>
              <w:t xml:space="preserve">-35.8% (steepest fall)</w:t>
            </w:r>
          </w:p>
        </w:tc>
        <w:tc>
          <w:tcPr>
            <w:tcW w:type="dxa" w:w="1500"/>
            <w:shd w:fill="F2F6FA" w:val="clear"/>
            <w:tcMar>
              <w:top w:type="dxa" w:w="80"/>
              <w:left w:type="dxa" w:w="100"/>
              <w:bottom w:type="dxa" w:w="80"/>
              <w:right w:type="dxa" w:w="100"/>
            </w:tcMar>
          </w:tcPr>
          <w:p>
            <w:pPr>
              <w:jc w:val="center"/>
            </w:pPr>
            <w:r>
              <w:rPr>
                <w:b w:val="false"/>
                <w:bCs w:val="false"/>
                <w:color w:val="000000"/>
              </w:rPr>
              <w:t xml:space="preserve">24.8%</w:t>
            </w:r>
          </w:p>
        </w:tc>
        <w:tc>
          <w:tcPr>
            <w:tcW w:type="dxa" w:w="3400"/>
            <w:shd w:fill="F2F6FA" w:val="clear"/>
            <w:tcMar>
              <w:top w:type="dxa" w:w="80"/>
              <w:left w:type="dxa" w:w="100"/>
              <w:bottom w:type="dxa" w:w="80"/>
              <w:right w:type="dxa" w:w="100"/>
            </w:tcMar>
          </w:tcPr>
          <w:p>
            <w:pPr>
              <w:jc w:val="center"/>
            </w:pPr>
            <w:r>
              <w:rPr>
                <w:b w:val="false"/>
                <w:bCs w:val="false"/>
                <w:color w:val="000000"/>
              </w:rPr>
              <w:t xml:space="preserve">Sharp, isolated decline — likely a channel-specific friction (gateway, offer lapse, or trust issue)</w:t>
            </w:r>
          </w:p>
        </w:tc>
        <w:tc>
          <w:tcPr>
            <w:tcW w:type="dxa" w:w="1500"/>
            <w:shd w:fill="F2F6FA" w:val="clear"/>
            <w:tcMar>
              <w:top w:type="dxa" w:w="80"/>
              <w:left w:type="dxa" w:w="100"/>
              <w:bottom w:type="dxa" w:w="80"/>
              <w:right w:type="dxa" w:w="100"/>
            </w:tcMar>
          </w:tcPr>
          <w:p>
            <w:pPr>
              <w:jc w:val="center"/>
            </w:pPr>
            <w:r>
              <w:rPr>
                <w:b w:val="false"/>
                <w:bCs w:val="false"/>
                <w:color w:val="000000"/>
              </w:rPr>
              <w:t xml:space="preserve">High — investigate first</w:t>
            </w:r>
          </w:p>
        </w:tc>
      </w:tr>
      <w:tr>
        <w:tc>
          <w:tcPr>
            <w:tcW w:type="dxa" w:w="1700"/>
            <w:shd w:fill="FFFFFF" w:val="clear"/>
            <w:tcMar>
              <w:top w:type="dxa" w:w="80"/>
              <w:left w:type="dxa" w:w="100"/>
              <w:bottom w:type="dxa" w:w="80"/>
              <w:right w:type="dxa" w:w="100"/>
            </w:tcMar>
          </w:tcPr>
          <w:p>
            <w:pPr>
              <w:jc w:val="left"/>
            </w:pPr>
            <w:r>
              <w:rPr>
                <w:b w:val="false"/>
                <w:bCs w:val="false"/>
                <w:color w:val="000000"/>
              </w:rPr>
              <w:t xml:space="preserve">Credit Card</w:t>
            </w:r>
          </w:p>
        </w:tc>
        <w:tc>
          <w:tcPr>
            <w:tcW w:type="dxa" w:w="2100"/>
            <w:shd w:fill="FFFFFF" w:val="clear"/>
            <w:tcMar>
              <w:top w:type="dxa" w:w="80"/>
              <w:left w:type="dxa" w:w="100"/>
              <w:bottom w:type="dxa" w:w="80"/>
              <w:right w:type="dxa" w:w="100"/>
            </w:tcMar>
          </w:tcPr>
          <w:p>
            <w:pPr>
              <w:jc w:val="center"/>
            </w:pPr>
            <w:r>
              <w:rPr>
                <w:b w:val="false"/>
                <w:bCs w:val="false"/>
                <w:color w:val="000000"/>
              </w:rPr>
              <w:t xml:space="preserve">-23.9%</w:t>
            </w:r>
          </w:p>
        </w:tc>
        <w:tc>
          <w:tcPr>
            <w:tcW w:type="dxa" w:w="1500"/>
            <w:shd w:fill="FFFFFF" w:val="clear"/>
            <w:tcMar>
              <w:top w:type="dxa" w:w="80"/>
              <w:left w:type="dxa" w:w="100"/>
              <w:bottom w:type="dxa" w:w="80"/>
              <w:right w:type="dxa" w:w="100"/>
            </w:tcMar>
          </w:tcPr>
          <w:p>
            <w:pPr>
              <w:jc w:val="center"/>
            </w:pPr>
            <w:r>
              <w:rPr>
                <w:b w:val="false"/>
                <w:bCs w:val="false"/>
                <w:color w:val="000000"/>
              </w:rPr>
              <w:t xml:space="preserve">28.1% (largest)</w:t>
            </w:r>
          </w:p>
        </w:tc>
        <w:tc>
          <w:tcPr>
            <w:tcW w:type="dxa" w:w="3400"/>
            <w:shd w:fill="FFFFFF" w:val="clear"/>
            <w:tcMar>
              <w:top w:type="dxa" w:w="80"/>
              <w:left w:type="dxa" w:w="100"/>
              <w:bottom w:type="dxa" w:w="80"/>
              <w:right w:type="dxa" w:w="100"/>
            </w:tcMar>
          </w:tcPr>
          <w:p>
            <w:pPr>
              <w:jc w:val="center"/>
            </w:pPr>
            <w:r>
              <w:rPr>
                <w:b w:val="false"/>
                <w:bCs w:val="false"/>
                <w:color w:val="000000"/>
              </w:rPr>
              <w:t xml:space="preserve">Second-steepest decline despite being the largest channel by revenue</w:t>
            </w:r>
          </w:p>
        </w:tc>
        <w:tc>
          <w:tcPr>
            <w:tcW w:type="dxa" w:w="1500"/>
            <w:shd w:fill="FFFFFF" w:val="clear"/>
            <w:tcMar>
              <w:top w:type="dxa" w:w="80"/>
              <w:left w:type="dxa" w:w="100"/>
              <w:bottom w:type="dxa" w:w="80"/>
              <w:right w:type="dxa" w:w="100"/>
            </w:tcMar>
          </w:tcPr>
          <w:p>
            <w:pPr>
              <w:jc w:val="center"/>
            </w:pPr>
            <w:r>
              <w:rPr>
                <w:b w:val="false"/>
                <w:bCs w:val="false"/>
                <w:color w:val="000000"/>
              </w:rPr>
              <w:t xml:space="preserve">High — targeted offers</w:t>
            </w:r>
          </w:p>
        </w:tc>
      </w:tr>
      <w:tr>
        <w:tc>
          <w:tcPr>
            <w:tcW w:type="dxa" w:w="1700"/>
            <w:shd w:fill="F2F6FA" w:val="clear"/>
            <w:tcMar>
              <w:top w:type="dxa" w:w="80"/>
              <w:left w:type="dxa" w:w="100"/>
              <w:bottom w:type="dxa" w:w="80"/>
              <w:right w:type="dxa" w:w="100"/>
            </w:tcMar>
          </w:tcPr>
          <w:p>
            <w:pPr>
              <w:jc w:val="left"/>
            </w:pPr>
            <w:r>
              <w:rPr>
                <w:b w:val="false"/>
                <w:bCs w:val="false"/>
                <w:color w:val="000000"/>
              </w:rPr>
              <w:t xml:space="preserve">Online</w:t>
            </w:r>
          </w:p>
        </w:tc>
        <w:tc>
          <w:tcPr>
            <w:tcW w:type="dxa" w:w="2100"/>
            <w:shd w:fill="F2F6FA" w:val="clear"/>
            <w:tcMar>
              <w:top w:type="dxa" w:w="80"/>
              <w:left w:type="dxa" w:w="100"/>
              <w:bottom w:type="dxa" w:w="80"/>
              <w:right w:type="dxa" w:w="100"/>
            </w:tcMar>
          </w:tcPr>
          <w:p>
            <w:pPr>
              <w:jc w:val="center"/>
            </w:pPr>
            <w:r>
              <w:rPr>
                <w:b w:val="false"/>
                <w:bCs w:val="false"/>
                <w:color w:val="000000"/>
              </w:rPr>
              <w:t xml:space="preserve">-15.3%</w:t>
            </w:r>
          </w:p>
        </w:tc>
        <w:tc>
          <w:tcPr>
            <w:tcW w:type="dxa" w:w="1500"/>
            <w:shd w:fill="F2F6FA" w:val="clear"/>
            <w:tcMar>
              <w:top w:type="dxa" w:w="80"/>
              <w:left w:type="dxa" w:w="100"/>
              <w:bottom w:type="dxa" w:w="80"/>
              <w:right w:type="dxa" w:w="100"/>
            </w:tcMar>
          </w:tcPr>
          <w:p>
            <w:pPr>
              <w:jc w:val="center"/>
            </w:pPr>
            <w:r>
              <w:rPr>
                <w:b w:val="false"/>
                <w:bCs w:val="false"/>
                <w:color w:val="000000"/>
              </w:rPr>
              <w:t xml:space="preserve">25.6%</w:t>
            </w:r>
          </w:p>
        </w:tc>
        <w:tc>
          <w:tcPr>
            <w:tcW w:type="dxa" w:w="3400"/>
            <w:shd w:fill="F2F6FA" w:val="clear"/>
            <w:tcMar>
              <w:top w:type="dxa" w:w="80"/>
              <w:left w:type="dxa" w:w="100"/>
              <w:bottom w:type="dxa" w:w="80"/>
              <w:right w:type="dxa" w:w="100"/>
            </w:tcMar>
          </w:tcPr>
          <w:p>
            <w:pPr>
              <w:jc w:val="center"/>
            </w:pPr>
            <w:r>
              <w:rPr>
                <w:b w:val="false"/>
                <w:bCs w:val="false"/>
                <w:color w:val="000000"/>
              </w:rPr>
              <w:t xml:space="preserve">Moderate decline, smallest fall among the three digital channels</w:t>
            </w:r>
          </w:p>
        </w:tc>
        <w:tc>
          <w:tcPr>
            <w:tcW w:type="dxa" w:w="1500"/>
            <w:shd w:fill="F2F6FA" w:val="clear"/>
            <w:tcMar>
              <w:top w:type="dxa" w:w="80"/>
              <w:left w:type="dxa" w:w="100"/>
              <w:bottom w:type="dxa" w:w="80"/>
              <w:right w:type="dxa" w:w="100"/>
            </w:tcMar>
          </w:tcPr>
          <w:p>
            <w:pPr>
              <w:jc w:val="center"/>
            </w:pPr>
            <w:r>
              <w:rPr>
                <w:b w:val="false"/>
                <w:bCs w:val="false"/>
                <w:color w:val="000000"/>
              </w:rPr>
              <w:t xml:space="preserve">Medium — monitor &amp; support</w:t>
            </w:r>
          </w:p>
        </w:tc>
      </w:tr>
      <w:tr>
        <w:tc>
          <w:tcPr>
            <w:tcW w:type="dxa" w:w="1700"/>
            <w:shd w:fill="FFFFFF" w:val="clear"/>
            <w:tcMar>
              <w:top w:type="dxa" w:w="80"/>
              <w:left w:type="dxa" w:w="100"/>
              <w:bottom w:type="dxa" w:w="80"/>
              <w:right w:type="dxa" w:w="100"/>
            </w:tcMar>
          </w:tcPr>
          <w:p>
            <w:pPr>
              <w:jc w:val="left"/>
            </w:pPr>
            <w:r>
              <w:rPr>
                <w:b w:val="false"/>
                <w:bCs w:val="false"/>
                <w:color w:val="000000"/>
              </w:rPr>
              <w:t xml:space="preserve">Cash</w:t>
            </w:r>
          </w:p>
        </w:tc>
        <w:tc>
          <w:tcPr>
            <w:tcW w:type="dxa" w:w="2100"/>
            <w:shd w:fill="FFFFFF" w:val="clear"/>
            <w:tcMar>
              <w:top w:type="dxa" w:w="80"/>
              <w:left w:type="dxa" w:w="100"/>
              <w:bottom w:type="dxa" w:w="80"/>
              <w:right w:type="dxa" w:w="100"/>
            </w:tcMar>
          </w:tcPr>
          <w:p>
            <w:pPr>
              <w:jc w:val="center"/>
            </w:pPr>
            <w:r>
              <w:rPr>
                <w:b w:val="false"/>
                <w:bCs w:val="false"/>
                <w:color w:val="000000"/>
              </w:rPr>
              <w:t xml:space="preserve">+3.7% (only channel growing)</w:t>
            </w:r>
          </w:p>
        </w:tc>
        <w:tc>
          <w:tcPr>
            <w:tcW w:type="dxa" w:w="1500"/>
            <w:shd w:fill="FFFFFF" w:val="clear"/>
            <w:tcMar>
              <w:top w:type="dxa" w:w="80"/>
              <w:left w:type="dxa" w:w="100"/>
              <w:bottom w:type="dxa" w:w="80"/>
              <w:right w:type="dxa" w:w="100"/>
            </w:tcMar>
          </w:tcPr>
          <w:p>
            <w:pPr>
              <w:jc w:val="center"/>
            </w:pPr>
            <w:r>
              <w:rPr>
                <w:b w:val="false"/>
                <w:bCs w:val="false"/>
                <w:color w:val="000000"/>
              </w:rPr>
              <w:t xml:space="preserve">21.6% (smallest)</w:t>
            </w:r>
          </w:p>
        </w:tc>
        <w:tc>
          <w:tcPr>
            <w:tcW w:type="dxa" w:w="3400"/>
            <w:shd w:fill="FFFFFF" w:val="clear"/>
            <w:tcMar>
              <w:top w:type="dxa" w:w="80"/>
              <w:left w:type="dxa" w:w="100"/>
              <w:bottom w:type="dxa" w:w="80"/>
              <w:right w:type="dxa" w:w="100"/>
            </w:tcMar>
          </w:tcPr>
          <w:p>
            <w:pPr>
              <w:jc w:val="center"/>
            </w:pPr>
            <w:r>
              <w:rPr>
                <w:b w:val="false"/>
                <w:bCs w:val="false"/>
                <w:color w:val="000000"/>
              </w:rPr>
              <w:t xml:space="preserve">Stable/resilient — in-store experience is a relative strength</w:t>
            </w:r>
          </w:p>
        </w:tc>
        <w:tc>
          <w:tcPr>
            <w:tcW w:type="dxa" w:w="1500"/>
            <w:shd w:fill="FFFFFF" w:val="clear"/>
            <w:tcMar>
              <w:top w:type="dxa" w:w="80"/>
              <w:left w:type="dxa" w:w="100"/>
              <w:bottom w:type="dxa" w:w="80"/>
              <w:right w:type="dxa" w:w="100"/>
            </w:tcMar>
          </w:tcPr>
          <w:p>
            <w:pPr>
              <w:jc w:val="center"/>
            </w:pPr>
            <w:r>
              <w:rPr>
                <w:b w:val="false"/>
                <w:bCs w:val="false"/>
                <w:color w:val="000000"/>
              </w:rPr>
              <w:t xml:space="preserve">Low — protect &amp; replicate</w:t>
            </w:r>
          </w:p>
        </w:tc>
      </w:tr>
    </w:tbl>
    <w:p>
      <w:pPr>
        <w:pStyle w:val="Heading1"/>
        <w:spacing w:after="200" w:before="400"/>
      </w:pPr>
      <w:r>
        <w:t xml:space="preserve">7. Limitations of the Study</w:t>
      </w:r>
    </w:p>
    <w:p>
      <w:pPr>
        <w:pStyle w:val="ListParagraph"/>
        <w:numPr>
          <w:ilvl w:val="0"/>
          <w:numId w:val="2"/>
        </w:numPr>
        <w:spacing w:after="80"/>
      </w:pPr>
      <w:r>
        <w:t xml:space="preserve">The dataset is a synthetically generated Kaggle practice dataset rather than data from a real, named business; TotalRevenue is not derived from Price × UnitsSold, and Brand/MobileModel/Location fields contain placeholder text, which limits the granularity of channel- and product-level recommendations.</w:t>
      </w:r>
    </w:p>
    <w:p>
      <w:pPr>
        <w:pStyle w:val="ListParagraph"/>
        <w:numPr>
          <w:ilvl w:val="0"/>
          <w:numId w:val="2"/>
        </w:numPr>
        <w:spacing w:after="80"/>
      </w:pPr>
      <w:r>
        <w:t xml:space="preserve">The dataset covers only seven months (Jan–Jul 2024), with July being incomplete; this restricts the ability to detect longer-term seasonal patterns (e.g., festive-season demand) or to confirm whether the observed trend continues, reverses, or stabilises beyond July.</w:t>
      </w:r>
    </w:p>
    <w:p>
      <w:pPr>
        <w:pStyle w:val="ListParagraph"/>
        <w:numPr>
          <w:ilvl w:val="0"/>
          <w:numId w:val="2"/>
        </w:numPr>
        <w:spacing w:after="80"/>
      </w:pPr>
      <w:r>
        <w:t xml:space="preserve">No cost, marketing-spend, or competitor data is available, so the recommendations are based solely on revenue, channel and demographic patterns within this dataset and should be validated against real operational data before implementation.</w:t>
      </w:r>
    </w:p>
    <w:p>
      <w:pPr>
        <w:pStyle w:val="ListParagraph"/>
        <w:numPr>
          <w:ilvl w:val="0"/>
          <w:numId w:val="2"/>
        </w:numPr>
        <w:spacing w:after="80"/>
      </w:pPr>
      <w:r>
        <w:t xml:space="preserve">As a secondary-data project, the specific causes behind the channel-level decline (e.g., a payment-gateway issue) are inferred from the pattern in the data rather than confirmed through direct investigation of the business's systems.</w:t>
      </w:r>
    </w:p>
    <w:p>
      <w:pPr>
        <w:pStyle w:val="Heading1"/>
        <w:spacing w:after="200" w:before="400"/>
      </w:pPr>
      <w:r>
        <w:t xml:space="preserve">8. Conclusion</w:t>
      </w:r>
    </w:p>
    <w:p>
      <w:pPr>
        <w:spacing w:after="160"/>
      </w:pPr>
      <w:r>
        <w:t xml:space="preserve">This project set out to diagnose a 19% revenue decline for a multi-channel mobile retail business and identify which channels and customer segments matter most. The analysis shows the decline is real but overstated by a partial final month, and — more importantly — that it is concentrated in specific payment channels (especially Debit Card) and is accompanied by weak engagement from the 58–65 customer segment, while the 38–57 segment and the Cash channel remain relatively resilient. These findings give the business a specific, prioritised set of actions (channel-experience fixes, targeted retention marketing) rather than a generic response to "falling sales".</w:t>
      </w:r>
    </w:p>
    <w:p>
      <w:pPr>
        <w:pStyle w:val="Heading1"/>
        <w:spacing w:after="200" w:before="400"/>
      </w:pPr>
      <w:r>
        <w:t xml:space="preserve">9. References / Data Source</w:t>
      </w:r>
    </w:p>
    <w:p>
      <w:pPr>
        <w:pStyle w:val="ListParagraph"/>
        <w:numPr>
          <w:ilvl w:val="0"/>
          <w:numId w:val="2"/>
        </w:numPr>
        <w:spacing w:after="80"/>
      </w:pPr>
      <w:r>
        <w:t xml:space="preserve">Mobile Sales Dataset. Kaggle. (Publicly available secondary dataset used under the BDM Capstone Project — Analysis with Secondary Data pathway.)</w:t>
      </w:r>
    </w:p>
    <w:p>
      <w:pPr>
        <w:pStyle w:val="ListParagraph"/>
        <w:numPr>
          <w:ilvl w:val="0"/>
          <w:numId w:val="2"/>
        </w:numPr>
        <w:spacing w:after="80"/>
      </w:pPr>
      <w:r>
        <w:t xml:space="preserve">BDM Capstone Project — Analysis with Secondary Data: Rubrics and submission guidelines, IIT Madras Online BS Degree Program.</w:t>
      </w:r>
    </w:p>
    <w:p>
      <w:pPr>
        <w:pStyle w:val="ListParagraph"/>
        <w:numPr>
          <w:ilvl w:val="0"/>
          <w:numId w:val="2"/>
        </w:numPr>
        <w:spacing w:after="80"/>
      </w:pPr>
      <w:r>
        <w:t xml:space="preserve">Accompanying artefact: BDM_Capstone_Analysis_23F3001753.ipynb — Google Colab / Jupyter notebook containing the complete, reproducible data cleaning and analysis code underlying this report (link in Section 2).</w:t>
      </w:r>
    </w:p>
    <w:p>
      <w:pPr>
        <w:pStyle w:val="Heading1"/>
        <w:spacing w:after="200" w:before="400"/>
      </w:pPr>
      <w:r>
        <w:t xml:space="preserve">Appendix A: Sample of the Cleaned Dataset</w:t>
      </w:r>
    </w:p>
    <w:p>
      <w:pPr>
        <w:spacing w:after="160"/>
      </w:pPr>
      <w:r>
        <w:t xml:space="preserve">The table below shows 12 representative rows from the cleaned dataset (post type-conversion), illustrating the structure used throughout the analysis. The full 1,000-row dataset and all code are available in the accompanying notebook.</w:t>
      </w:r>
    </w:p>
    <w:tbl>
      <w:tblPr>
        <w:tblW w:type="dxa" w:w="9600"/>
        <w:tblBorders>
          <w:top w:val="single" w:color="B7C6D9" w:sz="4"/>
          <w:left w:val="single" w:color="B7C6D9" w:sz="4"/>
          <w:bottom w:val="single" w:color="B7C6D9" w:sz="4"/>
          <w:right w:val="single" w:color="B7C6D9" w:sz="4"/>
          <w:insideH w:val="single" w:color="D6E0EA" w:sz="2"/>
          <w:insideV w:val="single" w:color="D6E0EA" w:sz="2"/>
        </w:tblBorders>
      </w:tblPr>
      <w:tblGrid>
        <w:gridCol w:w="1500"/>
        <w:gridCol w:w="1400"/>
        <w:gridCol w:w="1300"/>
        <w:gridCol w:w="1700"/>
        <w:gridCol w:w="900"/>
        <w:gridCol w:w="1200"/>
        <w:gridCol w:w="1600"/>
      </w:tblGrid>
      <w:tr>
        <w:trPr>
          <w:tblHeader/>
        </w:trPr>
        <w:tc>
          <w:tcPr>
            <w:tcW w:type="dxa" w:w="1500"/>
            <w:shd w:fill="1F4E79" w:val="clear"/>
            <w:tcMar>
              <w:top w:type="dxa" w:w="80"/>
              <w:left w:type="dxa" w:w="100"/>
              <w:bottom w:type="dxa" w:w="80"/>
              <w:right w:type="dxa" w:w="100"/>
            </w:tcMar>
          </w:tcPr>
          <w:p>
            <w:pPr>
              <w:jc w:val="center"/>
            </w:pPr>
            <w:r>
              <w:rPr>
                <w:b/>
                <w:bCs/>
                <w:color w:val="FFFFFF"/>
              </w:rPr>
              <w:t xml:space="preserve">Date</w:t>
            </w:r>
          </w:p>
        </w:tc>
        <w:tc>
          <w:tcPr>
            <w:tcW w:type="dxa" w:w="1400"/>
            <w:shd w:fill="1F4E79" w:val="clear"/>
            <w:tcMar>
              <w:top w:type="dxa" w:w="80"/>
              <w:left w:type="dxa" w:w="100"/>
              <w:bottom w:type="dxa" w:w="80"/>
              <w:right w:type="dxa" w:w="100"/>
            </w:tcMar>
          </w:tcPr>
          <w:p>
            <w:pPr>
              <w:jc w:val="center"/>
            </w:pPr>
            <w:r>
              <w:rPr>
                <w:b/>
                <w:bCs/>
                <w:color w:val="FFFFFF"/>
              </w:rPr>
              <w:t xml:space="preserve">Price (₹)</w:t>
            </w:r>
          </w:p>
        </w:tc>
        <w:tc>
          <w:tcPr>
            <w:tcW w:type="dxa" w:w="1300"/>
            <w:shd w:fill="1F4E79" w:val="clear"/>
            <w:tcMar>
              <w:top w:type="dxa" w:w="80"/>
              <w:left w:type="dxa" w:w="100"/>
              <w:bottom w:type="dxa" w:w="80"/>
              <w:right w:type="dxa" w:w="100"/>
            </w:tcMar>
          </w:tcPr>
          <w:p>
            <w:pPr>
              <w:jc w:val="center"/>
            </w:pPr>
            <w:r>
              <w:rPr>
                <w:b/>
                <w:bCs/>
                <w:color w:val="FFFFFF"/>
              </w:rPr>
              <w:t xml:space="preserve">UnitsSold</w:t>
            </w:r>
          </w:p>
        </w:tc>
        <w:tc>
          <w:tcPr>
            <w:tcW w:type="dxa" w:w="1700"/>
            <w:shd w:fill="1F4E79" w:val="clear"/>
            <w:tcMar>
              <w:top w:type="dxa" w:w="80"/>
              <w:left w:type="dxa" w:w="100"/>
              <w:bottom w:type="dxa" w:w="80"/>
              <w:right w:type="dxa" w:w="100"/>
            </w:tcMar>
          </w:tcPr>
          <w:p>
            <w:pPr>
              <w:jc w:val="center"/>
            </w:pPr>
            <w:r>
              <w:rPr>
                <w:b/>
                <w:bCs/>
                <w:color w:val="FFFFFF"/>
              </w:rPr>
              <w:t xml:space="preserve">TotalRevenue (₹)</w:t>
            </w:r>
          </w:p>
        </w:tc>
        <w:tc>
          <w:tcPr>
            <w:tcW w:type="dxa" w:w="900"/>
            <w:shd w:fill="1F4E79" w:val="clear"/>
            <w:tcMar>
              <w:top w:type="dxa" w:w="80"/>
              <w:left w:type="dxa" w:w="100"/>
              <w:bottom w:type="dxa" w:w="80"/>
              <w:right w:type="dxa" w:w="100"/>
            </w:tcMar>
          </w:tcPr>
          <w:p>
            <w:pPr>
              <w:jc w:val="center"/>
            </w:pPr>
            <w:r>
              <w:rPr>
                <w:b/>
                <w:bCs/>
                <w:color w:val="FFFFFF"/>
              </w:rPr>
              <w:t xml:space="preserve">Age</w:t>
            </w:r>
          </w:p>
        </w:tc>
        <w:tc>
          <w:tcPr>
            <w:tcW w:type="dxa" w:w="1200"/>
            <w:shd w:fill="1F4E79" w:val="clear"/>
            <w:tcMar>
              <w:top w:type="dxa" w:w="80"/>
              <w:left w:type="dxa" w:w="100"/>
              <w:bottom w:type="dxa" w:w="80"/>
              <w:right w:type="dxa" w:w="100"/>
            </w:tcMar>
          </w:tcPr>
          <w:p>
            <w:pPr>
              <w:jc w:val="center"/>
            </w:pPr>
            <w:r>
              <w:rPr>
                <w:b/>
                <w:bCs/>
                <w:color w:val="FFFFFF"/>
              </w:rPr>
              <w:t xml:space="preserve">Gender</w:t>
            </w:r>
          </w:p>
        </w:tc>
        <w:tc>
          <w:tcPr>
            <w:tcW w:type="dxa" w:w="1600"/>
            <w:shd w:fill="1F4E79" w:val="clear"/>
            <w:tcMar>
              <w:top w:type="dxa" w:w="80"/>
              <w:left w:type="dxa" w:w="100"/>
              <w:bottom w:type="dxa" w:w="80"/>
              <w:right w:type="dxa" w:w="100"/>
            </w:tcMar>
          </w:tcPr>
          <w:p>
            <w:pPr>
              <w:jc w:val="center"/>
            </w:pPr>
            <w:r>
              <w:rPr>
                <w:b/>
                <w:bCs/>
                <w:color w:val="FFFFFF"/>
              </w:rPr>
              <w:t xml:space="preserve">Payment Method</w:t>
            </w:r>
          </w:p>
        </w:tc>
      </w:tr>
      <w:tr>
        <w:tc>
          <w:tcPr>
            <w:tcW w:type="dxa" w:w="1500"/>
            <w:shd w:fill="F2F6FA" w:val="clear"/>
            <w:tcMar>
              <w:top w:type="dxa" w:w="80"/>
              <w:left w:type="dxa" w:w="100"/>
              <w:bottom w:type="dxa" w:w="80"/>
              <w:right w:type="dxa" w:w="100"/>
            </w:tcMar>
          </w:tcPr>
          <w:p>
            <w:pPr>
              <w:jc w:val="left"/>
            </w:pPr>
            <w:r>
              <w:rPr>
                <w:b w:val="false"/>
                <w:bCs w:val="false"/>
                <w:color w:val="000000"/>
              </w:rPr>
              <w:t xml:space="preserve">2024-01-06</w:t>
            </w:r>
          </w:p>
        </w:tc>
        <w:tc>
          <w:tcPr>
            <w:tcW w:type="dxa" w:w="1400"/>
            <w:shd w:fill="F2F6FA" w:val="clear"/>
            <w:tcMar>
              <w:top w:type="dxa" w:w="80"/>
              <w:left w:type="dxa" w:w="100"/>
              <w:bottom w:type="dxa" w:w="80"/>
              <w:right w:type="dxa" w:w="100"/>
            </w:tcMar>
          </w:tcPr>
          <w:p>
            <w:pPr>
              <w:jc w:val="center"/>
            </w:pPr>
            <w:r>
              <w:rPr>
                <w:b w:val="false"/>
                <w:bCs w:val="false"/>
                <w:color w:val="000000"/>
              </w:rPr>
              <w:t xml:space="preserve">1,196.95</w:t>
            </w:r>
          </w:p>
        </w:tc>
        <w:tc>
          <w:tcPr>
            <w:tcW w:type="dxa" w:w="1300"/>
            <w:shd w:fill="F2F6FA" w:val="clear"/>
            <w:tcMar>
              <w:top w:type="dxa" w:w="80"/>
              <w:left w:type="dxa" w:w="100"/>
              <w:bottom w:type="dxa" w:w="80"/>
              <w:right w:type="dxa" w:w="100"/>
            </w:tcMar>
          </w:tcPr>
          <w:p>
            <w:pPr>
              <w:jc w:val="center"/>
            </w:pPr>
            <w:r>
              <w:rPr>
                <w:b w:val="false"/>
                <w:bCs w:val="false"/>
                <w:color w:val="000000"/>
              </w:rPr>
              <w:t xml:space="preserve">85</w:t>
            </w:r>
          </w:p>
        </w:tc>
        <w:tc>
          <w:tcPr>
            <w:tcW w:type="dxa" w:w="1700"/>
            <w:shd w:fill="F2F6FA" w:val="clear"/>
            <w:tcMar>
              <w:top w:type="dxa" w:w="80"/>
              <w:left w:type="dxa" w:w="100"/>
              <w:bottom w:type="dxa" w:w="80"/>
              <w:right w:type="dxa" w:w="100"/>
            </w:tcMar>
          </w:tcPr>
          <w:p>
            <w:pPr>
              <w:jc w:val="center"/>
            </w:pPr>
            <w:r>
              <w:rPr>
                <w:b w:val="false"/>
                <w:bCs w:val="false"/>
                <w:color w:val="000000"/>
              </w:rPr>
              <w:t xml:space="preserve">28,002.80</w:t>
            </w:r>
          </w:p>
        </w:tc>
        <w:tc>
          <w:tcPr>
            <w:tcW w:type="dxa" w:w="900"/>
            <w:shd w:fill="F2F6FA" w:val="clear"/>
            <w:tcMar>
              <w:top w:type="dxa" w:w="80"/>
              <w:left w:type="dxa" w:w="100"/>
              <w:bottom w:type="dxa" w:w="80"/>
              <w:right w:type="dxa" w:w="100"/>
            </w:tcMar>
          </w:tcPr>
          <w:p>
            <w:pPr>
              <w:jc w:val="center"/>
            </w:pPr>
            <w:r>
              <w:rPr>
                <w:b w:val="false"/>
                <w:bCs w:val="false"/>
                <w:color w:val="000000"/>
              </w:rPr>
              <w:t xml:space="preserve">32</w:t>
            </w:r>
          </w:p>
        </w:tc>
        <w:tc>
          <w:tcPr>
            <w:tcW w:type="dxa" w:w="1200"/>
            <w:shd w:fill="F2F6FA" w:val="clear"/>
            <w:tcMar>
              <w:top w:type="dxa" w:w="80"/>
              <w:left w:type="dxa" w:w="100"/>
              <w:bottom w:type="dxa" w:w="80"/>
              <w:right w:type="dxa" w:w="100"/>
            </w:tcMar>
          </w:tcPr>
          <w:p>
            <w:pPr>
              <w:jc w:val="center"/>
            </w:pPr>
            <w:r>
              <w:rPr>
                <w:b w:val="false"/>
                <w:bCs w:val="false"/>
                <w:color w:val="000000"/>
              </w:rPr>
              <w:t xml:space="preserve">Female</w:t>
            </w:r>
          </w:p>
        </w:tc>
        <w:tc>
          <w:tcPr>
            <w:tcW w:type="dxa" w:w="1600"/>
            <w:shd w:fill="F2F6FA" w:val="clear"/>
            <w:tcMar>
              <w:top w:type="dxa" w:w="80"/>
              <w:left w:type="dxa" w:w="100"/>
              <w:bottom w:type="dxa" w:w="80"/>
              <w:right w:type="dxa" w:w="100"/>
            </w:tcMar>
          </w:tcPr>
          <w:p>
            <w:pPr>
              <w:jc w:val="center"/>
            </w:pPr>
            <w:r>
              <w:rPr>
                <w:b w:val="false"/>
                <w:bCs w:val="false"/>
                <w:color w:val="000000"/>
              </w:rPr>
              <w:t xml:space="preserve">Online</w:t>
            </w:r>
          </w:p>
        </w:tc>
      </w:tr>
      <w:tr>
        <w:tc>
          <w:tcPr>
            <w:tcW w:type="dxa" w:w="1500"/>
            <w:shd w:fill="FFFFFF" w:val="clear"/>
            <w:tcMar>
              <w:top w:type="dxa" w:w="80"/>
              <w:left w:type="dxa" w:w="100"/>
              <w:bottom w:type="dxa" w:w="80"/>
              <w:right w:type="dxa" w:w="100"/>
            </w:tcMar>
          </w:tcPr>
          <w:p>
            <w:pPr>
              <w:jc w:val="left"/>
            </w:pPr>
            <w:r>
              <w:rPr>
                <w:b w:val="false"/>
                <w:bCs w:val="false"/>
                <w:color w:val="000000"/>
              </w:rPr>
              <w:t xml:space="preserve">2024-04-05</w:t>
            </w:r>
          </w:p>
        </w:tc>
        <w:tc>
          <w:tcPr>
            <w:tcW w:type="dxa" w:w="1400"/>
            <w:shd w:fill="FFFFFF" w:val="clear"/>
            <w:tcMar>
              <w:top w:type="dxa" w:w="80"/>
              <w:left w:type="dxa" w:w="100"/>
              <w:bottom w:type="dxa" w:w="80"/>
              <w:right w:type="dxa" w:w="100"/>
            </w:tcMar>
          </w:tcPr>
          <w:p>
            <w:pPr>
              <w:jc w:val="center"/>
            </w:pPr>
            <w:r>
              <w:rPr>
                <w:b w:val="false"/>
                <w:bCs w:val="false"/>
                <w:color w:val="000000"/>
              </w:rPr>
              <w:t xml:space="preserve">1,010.34</w:t>
            </w:r>
          </w:p>
        </w:tc>
        <w:tc>
          <w:tcPr>
            <w:tcW w:type="dxa" w:w="1300"/>
            <w:shd w:fill="FFFFFF" w:val="clear"/>
            <w:tcMar>
              <w:top w:type="dxa" w:w="80"/>
              <w:left w:type="dxa" w:w="100"/>
              <w:bottom w:type="dxa" w:w="80"/>
              <w:right w:type="dxa" w:w="100"/>
            </w:tcMar>
          </w:tcPr>
          <w:p>
            <w:pPr>
              <w:jc w:val="center"/>
            </w:pPr>
            <w:r>
              <w:rPr>
                <w:b w:val="false"/>
                <w:bCs w:val="false"/>
                <w:color w:val="000000"/>
              </w:rPr>
              <w:t xml:space="preserve">64</w:t>
            </w:r>
          </w:p>
        </w:tc>
        <w:tc>
          <w:tcPr>
            <w:tcW w:type="dxa" w:w="1700"/>
            <w:shd w:fill="FFFFFF" w:val="clear"/>
            <w:tcMar>
              <w:top w:type="dxa" w:w="80"/>
              <w:left w:type="dxa" w:w="100"/>
              <w:bottom w:type="dxa" w:w="80"/>
              <w:right w:type="dxa" w:w="100"/>
            </w:tcMar>
          </w:tcPr>
          <w:p>
            <w:pPr>
              <w:jc w:val="center"/>
            </w:pPr>
            <w:r>
              <w:rPr>
                <w:b w:val="false"/>
                <w:bCs w:val="false"/>
                <w:color w:val="000000"/>
              </w:rPr>
              <w:t xml:space="preserve">2,378.82</w:t>
            </w:r>
          </w:p>
        </w:tc>
        <w:tc>
          <w:tcPr>
            <w:tcW w:type="dxa" w:w="900"/>
            <w:shd w:fill="FFFFFF" w:val="clear"/>
            <w:tcMar>
              <w:top w:type="dxa" w:w="80"/>
              <w:left w:type="dxa" w:w="100"/>
              <w:bottom w:type="dxa" w:w="80"/>
              <w:right w:type="dxa" w:w="100"/>
            </w:tcMar>
          </w:tcPr>
          <w:p>
            <w:pPr>
              <w:jc w:val="center"/>
            </w:pPr>
            <w:r>
              <w:rPr>
                <w:b w:val="false"/>
                <w:bCs w:val="false"/>
                <w:color w:val="000000"/>
              </w:rPr>
              <w:t xml:space="preserve">55</w:t>
            </w:r>
          </w:p>
        </w:tc>
        <w:tc>
          <w:tcPr>
            <w:tcW w:type="dxa" w:w="1200"/>
            <w:shd w:fill="FFFFFF" w:val="clear"/>
            <w:tcMar>
              <w:top w:type="dxa" w:w="80"/>
              <w:left w:type="dxa" w:w="100"/>
              <w:bottom w:type="dxa" w:w="80"/>
              <w:right w:type="dxa" w:w="100"/>
            </w:tcMar>
          </w:tcPr>
          <w:p>
            <w:pPr>
              <w:jc w:val="center"/>
            </w:pPr>
            <w:r>
              <w:rPr>
                <w:b w:val="false"/>
                <w:bCs w:val="false"/>
                <w:color w:val="000000"/>
              </w:rPr>
              <w:t xml:space="preserve">Female</w:t>
            </w:r>
          </w:p>
        </w:tc>
        <w:tc>
          <w:tcPr>
            <w:tcW w:type="dxa" w:w="1600"/>
            <w:shd w:fill="FFFFFF" w:val="clear"/>
            <w:tcMar>
              <w:top w:type="dxa" w:w="80"/>
              <w:left w:type="dxa" w:w="100"/>
              <w:bottom w:type="dxa" w:w="80"/>
              <w:right w:type="dxa" w:w="100"/>
            </w:tcMar>
          </w:tcPr>
          <w:p>
            <w:pPr>
              <w:jc w:val="center"/>
            </w:pPr>
            <w:r>
              <w:rPr>
                <w:b w:val="false"/>
                <w:bCs w:val="false"/>
                <w:color w:val="000000"/>
              </w:rPr>
              <w:t xml:space="preserve">Credit Card</w:t>
            </w:r>
          </w:p>
        </w:tc>
      </w:tr>
      <w:tr>
        <w:tc>
          <w:tcPr>
            <w:tcW w:type="dxa" w:w="1500"/>
            <w:shd w:fill="F2F6FA" w:val="clear"/>
            <w:tcMar>
              <w:top w:type="dxa" w:w="80"/>
              <w:left w:type="dxa" w:w="100"/>
              <w:bottom w:type="dxa" w:w="80"/>
              <w:right w:type="dxa" w:w="100"/>
            </w:tcMar>
          </w:tcPr>
          <w:p>
            <w:pPr>
              <w:jc w:val="left"/>
            </w:pPr>
            <w:r>
              <w:rPr>
                <w:b w:val="false"/>
                <w:bCs w:val="false"/>
                <w:color w:val="000000"/>
              </w:rPr>
              <w:t xml:space="preserve">2024-02-13</w:t>
            </w:r>
          </w:p>
        </w:tc>
        <w:tc>
          <w:tcPr>
            <w:tcW w:type="dxa" w:w="1400"/>
            <w:shd w:fill="F2F6FA" w:val="clear"/>
            <w:tcMar>
              <w:top w:type="dxa" w:w="80"/>
              <w:left w:type="dxa" w:w="100"/>
              <w:bottom w:type="dxa" w:w="80"/>
              <w:right w:type="dxa" w:w="100"/>
            </w:tcMar>
          </w:tcPr>
          <w:p>
            <w:pPr>
              <w:jc w:val="center"/>
            </w:pPr>
            <w:r>
              <w:rPr>
                <w:b w:val="false"/>
                <w:bCs w:val="false"/>
                <w:color w:val="000000"/>
              </w:rPr>
              <w:t xml:space="preserve">400.80</w:t>
            </w:r>
          </w:p>
        </w:tc>
        <w:tc>
          <w:tcPr>
            <w:tcW w:type="dxa" w:w="1300"/>
            <w:shd w:fill="F2F6FA" w:val="clear"/>
            <w:tcMar>
              <w:top w:type="dxa" w:w="80"/>
              <w:left w:type="dxa" w:w="100"/>
              <w:bottom w:type="dxa" w:w="80"/>
              <w:right w:type="dxa" w:w="100"/>
            </w:tcMar>
          </w:tcPr>
          <w:p>
            <w:pPr>
              <w:jc w:val="center"/>
            </w:pPr>
            <w:r>
              <w:rPr>
                <w:b w:val="false"/>
                <w:bCs w:val="false"/>
                <w:color w:val="000000"/>
              </w:rPr>
              <w:t xml:space="preserve">95</w:t>
            </w:r>
          </w:p>
        </w:tc>
        <w:tc>
          <w:tcPr>
            <w:tcW w:type="dxa" w:w="1700"/>
            <w:shd w:fill="F2F6FA" w:val="clear"/>
            <w:tcMar>
              <w:top w:type="dxa" w:w="80"/>
              <w:left w:type="dxa" w:w="100"/>
              <w:bottom w:type="dxa" w:w="80"/>
              <w:right w:type="dxa" w:w="100"/>
            </w:tcMar>
          </w:tcPr>
          <w:p>
            <w:pPr>
              <w:jc w:val="center"/>
            </w:pPr>
            <w:r>
              <w:rPr>
                <w:b w:val="false"/>
                <w:bCs w:val="false"/>
                <w:color w:val="000000"/>
              </w:rPr>
              <w:t xml:space="preserve">31,322.56</w:t>
            </w:r>
          </w:p>
        </w:tc>
        <w:tc>
          <w:tcPr>
            <w:tcW w:type="dxa" w:w="900"/>
            <w:shd w:fill="F2F6FA" w:val="clear"/>
            <w:tcMar>
              <w:top w:type="dxa" w:w="80"/>
              <w:left w:type="dxa" w:w="100"/>
              <w:bottom w:type="dxa" w:w="80"/>
              <w:right w:type="dxa" w:w="100"/>
            </w:tcMar>
          </w:tcPr>
          <w:p>
            <w:pPr>
              <w:jc w:val="center"/>
            </w:pPr>
            <w:r>
              <w:rPr>
                <w:b w:val="false"/>
                <w:bCs w:val="false"/>
                <w:color w:val="000000"/>
              </w:rPr>
              <w:t xml:space="preserve">57</w:t>
            </w:r>
          </w:p>
        </w:tc>
        <w:tc>
          <w:tcPr>
            <w:tcW w:type="dxa" w:w="1200"/>
            <w:shd w:fill="F2F6FA" w:val="clear"/>
            <w:tcMar>
              <w:top w:type="dxa" w:w="80"/>
              <w:left w:type="dxa" w:w="100"/>
              <w:bottom w:type="dxa" w:w="80"/>
              <w:right w:type="dxa" w:w="100"/>
            </w:tcMar>
          </w:tcPr>
          <w:p>
            <w:pPr>
              <w:jc w:val="center"/>
            </w:pPr>
            <w:r>
              <w:rPr>
                <w:b w:val="false"/>
                <w:bCs w:val="false"/>
                <w:color w:val="000000"/>
              </w:rPr>
              <w:t xml:space="preserve">Male</w:t>
            </w:r>
          </w:p>
        </w:tc>
        <w:tc>
          <w:tcPr>
            <w:tcW w:type="dxa" w:w="1600"/>
            <w:shd w:fill="F2F6FA" w:val="clear"/>
            <w:tcMar>
              <w:top w:type="dxa" w:w="80"/>
              <w:left w:type="dxa" w:w="100"/>
              <w:bottom w:type="dxa" w:w="80"/>
              <w:right w:type="dxa" w:w="100"/>
            </w:tcMar>
          </w:tcPr>
          <w:p>
            <w:pPr>
              <w:jc w:val="center"/>
            </w:pPr>
            <w:r>
              <w:rPr>
                <w:b w:val="false"/>
                <w:bCs w:val="false"/>
                <w:color w:val="000000"/>
              </w:rPr>
              <w:t xml:space="preserve">Online</w:t>
            </w:r>
          </w:p>
        </w:tc>
      </w:tr>
      <w:tr>
        <w:tc>
          <w:tcPr>
            <w:tcW w:type="dxa" w:w="1500"/>
            <w:shd w:fill="FFFFFF" w:val="clear"/>
            <w:tcMar>
              <w:top w:type="dxa" w:w="80"/>
              <w:left w:type="dxa" w:w="100"/>
              <w:bottom w:type="dxa" w:w="80"/>
              <w:right w:type="dxa" w:w="100"/>
            </w:tcMar>
          </w:tcPr>
          <w:p>
            <w:pPr>
              <w:jc w:val="left"/>
            </w:pPr>
            <w:r>
              <w:rPr>
                <w:b w:val="false"/>
                <w:bCs w:val="false"/>
                <w:color w:val="000000"/>
              </w:rPr>
              <w:t xml:space="preserve">2024-04-17</w:t>
            </w:r>
          </w:p>
        </w:tc>
        <w:tc>
          <w:tcPr>
            <w:tcW w:type="dxa" w:w="1400"/>
            <w:shd w:fill="FFFFFF" w:val="clear"/>
            <w:tcMar>
              <w:top w:type="dxa" w:w="80"/>
              <w:left w:type="dxa" w:w="100"/>
              <w:bottom w:type="dxa" w:w="80"/>
              <w:right w:type="dxa" w:w="100"/>
            </w:tcMar>
          </w:tcPr>
          <w:p>
            <w:pPr>
              <w:jc w:val="center"/>
            </w:pPr>
            <w:r>
              <w:rPr>
                <w:b w:val="false"/>
                <w:bCs w:val="false"/>
                <w:color w:val="000000"/>
              </w:rPr>
              <w:t xml:space="preserve">338.60</w:t>
            </w:r>
          </w:p>
        </w:tc>
        <w:tc>
          <w:tcPr>
            <w:tcW w:type="dxa" w:w="1300"/>
            <w:shd w:fill="FFFFFF" w:val="clear"/>
            <w:tcMar>
              <w:top w:type="dxa" w:w="80"/>
              <w:left w:type="dxa" w:w="100"/>
              <w:bottom w:type="dxa" w:w="80"/>
              <w:right w:type="dxa" w:w="100"/>
            </w:tcMar>
          </w:tcPr>
          <w:p>
            <w:pPr>
              <w:jc w:val="center"/>
            </w:pPr>
            <w:r>
              <w:rPr>
                <w:b w:val="false"/>
                <w:bCs w:val="false"/>
                <w:color w:val="000000"/>
              </w:rPr>
              <w:t xml:space="preserve">79</w:t>
            </w:r>
          </w:p>
        </w:tc>
        <w:tc>
          <w:tcPr>
            <w:tcW w:type="dxa" w:w="1700"/>
            <w:shd w:fill="FFFFFF" w:val="clear"/>
            <w:tcMar>
              <w:top w:type="dxa" w:w="80"/>
              <w:left w:type="dxa" w:w="100"/>
              <w:bottom w:type="dxa" w:w="80"/>
              <w:right w:type="dxa" w:w="100"/>
            </w:tcMar>
          </w:tcPr>
          <w:p>
            <w:pPr>
              <w:jc w:val="center"/>
            </w:pPr>
            <w:r>
              <w:rPr>
                <w:b w:val="false"/>
                <w:bCs w:val="false"/>
                <w:color w:val="000000"/>
              </w:rPr>
              <w:t xml:space="preserve">31,159.75</w:t>
            </w:r>
          </w:p>
        </w:tc>
        <w:tc>
          <w:tcPr>
            <w:tcW w:type="dxa" w:w="900"/>
            <w:shd w:fill="FFFFFF" w:val="clear"/>
            <w:tcMar>
              <w:top w:type="dxa" w:w="80"/>
              <w:left w:type="dxa" w:w="100"/>
              <w:bottom w:type="dxa" w:w="80"/>
              <w:right w:type="dxa" w:w="100"/>
            </w:tcMar>
          </w:tcPr>
          <w:p>
            <w:pPr>
              <w:jc w:val="center"/>
            </w:pPr>
            <w:r>
              <w:rPr>
                <w:b w:val="false"/>
                <w:bCs w:val="false"/>
                <w:color w:val="000000"/>
              </w:rPr>
              <w:t xml:space="preserve">46</w:t>
            </w:r>
          </w:p>
        </w:tc>
        <w:tc>
          <w:tcPr>
            <w:tcW w:type="dxa" w:w="1200"/>
            <w:shd w:fill="FFFFFF" w:val="clear"/>
            <w:tcMar>
              <w:top w:type="dxa" w:w="80"/>
              <w:left w:type="dxa" w:w="100"/>
              <w:bottom w:type="dxa" w:w="80"/>
              <w:right w:type="dxa" w:w="100"/>
            </w:tcMar>
          </w:tcPr>
          <w:p>
            <w:pPr>
              <w:jc w:val="center"/>
            </w:pPr>
            <w:r>
              <w:rPr>
                <w:b w:val="false"/>
                <w:bCs w:val="false"/>
                <w:color w:val="000000"/>
              </w:rPr>
              <w:t xml:space="preserve">Other</w:t>
            </w:r>
          </w:p>
        </w:tc>
        <w:tc>
          <w:tcPr>
            <w:tcW w:type="dxa" w:w="1600"/>
            <w:shd w:fill="FFFFFF" w:val="clear"/>
            <w:tcMar>
              <w:top w:type="dxa" w:w="80"/>
              <w:left w:type="dxa" w:w="100"/>
              <w:bottom w:type="dxa" w:w="80"/>
              <w:right w:type="dxa" w:w="100"/>
            </w:tcMar>
          </w:tcPr>
          <w:p>
            <w:pPr>
              <w:jc w:val="center"/>
            </w:pPr>
            <w:r>
              <w:rPr>
                <w:b w:val="false"/>
                <w:bCs w:val="false"/>
                <w:color w:val="000000"/>
              </w:rPr>
              <w:t xml:space="preserve">Cash</w:t>
            </w:r>
          </w:p>
        </w:tc>
      </w:tr>
      <w:tr>
        <w:tc>
          <w:tcPr>
            <w:tcW w:type="dxa" w:w="1500"/>
            <w:shd w:fill="F2F6FA" w:val="clear"/>
            <w:tcMar>
              <w:top w:type="dxa" w:w="80"/>
              <w:left w:type="dxa" w:w="100"/>
              <w:bottom w:type="dxa" w:w="80"/>
              <w:right w:type="dxa" w:w="100"/>
            </w:tcMar>
          </w:tcPr>
          <w:p>
            <w:pPr>
              <w:jc w:val="left"/>
            </w:pPr>
            <w:r>
              <w:rPr>
                <w:b w:val="false"/>
                <w:bCs w:val="false"/>
                <w:color w:val="000000"/>
              </w:rPr>
              <w:t xml:space="preserve">2024-06-02</w:t>
            </w:r>
          </w:p>
        </w:tc>
        <w:tc>
          <w:tcPr>
            <w:tcW w:type="dxa" w:w="1400"/>
            <w:shd w:fill="F2F6FA" w:val="clear"/>
            <w:tcMar>
              <w:top w:type="dxa" w:w="80"/>
              <w:left w:type="dxa" w:w="100"/>
              <w:bottom w:type="dxa" w:w="80"/>
              <w:right w:type="dxa" w:w="100"/>
            </w:tcMar>
          </w:tcPr>
          <w:p>
            <w:pPr>
              <w:jc w:val="center"/>
            </w:pPr>
            <w:r>
              <w:rPr>
                <w:b w:val="false"/>
                <w:bCs w:val="false"/>
                <w:color w:val="000000"/>
              </w:rPr>
              <w:t xml:space="preserve">839.79</w:t>
            </w:r>
          </w:p>
        </w:tc>
        <w:tc>
          <w:tcPr>
            <w:tcW w:type="dxa" w:w="1300"/>
            <w:shd w:fill="F2F6FA" w:val="clear"/>
            <w:tcMar>
              <w:top w:type="dxa" w:w="80"/>
              <w:left w:type="dxa" w:w="100"/>
              <w:bottom w:type="dxa" w:w="80"/>
              <w:right w:type="dxa" w:w="100"/>
            </w:tcMar>
          </w:tcPr>
          <w:p>
            <w:pPr>
              <w:jc w:val="center"/>
            </w:pPr>
            <w:r>
              <w:rPr>
                <w:b w:val="false"/>
                <w:bCs w:val="false"/>
                <w:color w:val="000000"/>
              </w:rPr>
              <w:t xml:space="preserve">41</w:t>
            </w:r>
          </w:p>
        </w:tc>
        <w:tc>
          <w:tcPr>
            <w:tcW w:type="dxa" w:w="1700"/>
            <w:shd w:fill="F2F6FA" w:val="clear"/>
            <w:tcMar>
              <w:top w:type="dxa" w:w="80"/>
              <w:left w:type="dxa" w:w="100"/>
              <w:bottom w:type="dxa" w:w="80"/>
              <w:right w:type="dxa" w:w="100"/>
            </w:tcMar>
          </w:tcPr>
          <w:p>
            <w:pPr>
              <w:jc w:val="center"/>
            </w:pPr>
            <w:r>
              <w:rPr>
                <w:b w:val="false"/>
                <w:bCs w:val="false"/>
                <w:color w:val="000000"/>
              </w:rPr>
              <w:t xml:space="preserve">11,523.36</w:t>
            </w:r>
          </w:p>
        </w:tc>
        <w:tc>
          <w:tcPr>
            <w:tcW w:type="dxa" w:w="900"/>
            <w:shd w:fill="F2F6FA" w:val="clear"/>
            <w:tcMar>
              <w:top w:type="dxa" w:w="80"/>
              <w:left w:type="dxa" w:w="100"/>
              <w:bottom w:type="dxa" w:w="80"/>
              <w:right w:type="dxa" w:w="100"/>
            </w:tcMar>
          </w:tcPr>
          <w:p>
            <w:pPr>
              <w:jc w:val="center"/>
            </w:pPr>
            <w:r>
              <w:rPr>
                <w:b w:val="false"/>
                <w:bCs w:val="false"/>
                <w:color w:val="000000"/>
              </w:rPr>
              <w:t xml:space="preserve">38</w:t>
            </w:r>
          </w:p>
        </w:tc>
        <w:tc>
          <w:tcPr>
            <w:tcW w:type="dxa" w:w="1200"/>
            <w:shd w:fill="F2F6FA" w:val="clear"/>
            <w:tcMar>
              <w:top w:type="dxa" w:w="80"/>
              <w:left w:type="dxa" w:w="100"/>
              <w:bottom w:type="dxa" w:w="80"/>
              <w:right w:type="dxa" w:w="100"/>
            </w:tcMar>
          </w:tcPr>
          <w:p>
            <w:pPr>
              <w:jc w:val="center"/>
            </w:pPr>
            <w:r>
              <w:rPr>
                <w:b w:val="false"/>
                <w:bCs w:val="false"/>
                <w:color w:val="000000"/>
              </w:rPr>
              <w:t xml:space="preserve">Male</w:t>
            </w:r>
          </w:p>
        </w:tc>
        <w:tc>
          <w:tcPr>
            <w:tcW w:type="dxa" w:w="1600"/>
            <w:shd w:fill="F2F6FA" w:val="clear"/>
            <w:tcMar>
              <w:top w:type="dxa" w:w="80"/>
              <w:left w:type="dxa" w:w="100"/>
              <w:bottom w:type="dxa" w:w="80"/>
              <w:right w:type="dxa" w:w="100"/>
            </w:tcMar>
          </w:tcPr>
          <w:p>
            <w:pPr>
              <w:jc w:val="center"/>
            </w:pPr>
            <w:r>
              <w:rPr>
                <w:b w:val="false"/>
                <w:bCs w:val="false"/>
                <w:color w:val="000000"/>
              </w:rPr>
              <w:t xml:space="preserve">Online</w:t>
            </w:r>
          </w:p>
        </w:tc>
      </w:tr>
      <w:tr>
        <w:tc>
          <w:tcPr>
            <w:tcW w:type="dxa" w:w="1500"/>
            <w:shd w:fill="FFFFFF" w:val="clear"/>
            <w:tcMar>
              <w:top w:type="dxa" w:w="80"/>
              <w:left w:type="dxa" w:w="100"/>
              <w:bottom w:type="dxa" w:w="80"/>
              <w:right w:type="dxa" w:w="100"/>
            </w:tcMar>
          </w:tcPr>
          <w:p>
            <w:pPr>
              <w:jc w:val="left"/>
            </w:pPr>
            <w:r>
              <w:rPr>
                <w:b w:val="false"/>
                <w:bCs w:val="false"/>
                <w:color w:val="000000"/>
              </w:rPr>
              <w:t xml:space="preserve">2024-03-07</w:t>
            </w:r>
          </w:p>
        </w:tc>
        <w:tc>
          <w:tcPr>
            <w:tcW w:type="dxa" w:w="1400"/>
            <w:shd w:fill="FFFFFF" w:val="clear"/>
            <w:tcMar>
              <w:top w:type="dxa" w:w="80"/>
              <w:left w:type="dxa" w:w="100"/>
              <w:bottom w:type="dxa" w:w="80"/>
              <w:right w:type="dxa" w:w="100"/>
            </w:tcMar>
          </w:tcPr>
          <w:p>
            <w:pPr>
              <w:jc w:val="center"/>
            </w:pPr>
            <w:r>
              <w:rPr>
                <w:b w:val="false"/>
                <w:bCs w:val="false"/>
                <w:color w:val="000000"/>
              </w:rPr>
              <w:t xml:space="preserve">1,498.13</w:t>
            </w:r>
          </w:p>
        </w:tc>
        <w:tc>
          <w:tcPr>
            <w:tcW w:type="dxa" w:w="1300"/>
            <w:shd w:fill="FFFFFF" w:val="clear"/>
            <w:tcMar>
              <w:top w:type="dxa" w:w="80"/>
              <w:left w:type="dxa" w:w="100"/>
              <w:bottom w:type="dxa" w:w="80"/>
              <w:right w:type="dxa" w:w="100"/>
            </w:tcMar>
          </w:tcPr>
          <w:p>
            <w:pPr>
              <w:jc w:val="center"/>
            </w:pPr>
            <w:r>
              <w:rPr>
                <w:b w:val="false"/>
                <w:bCs w:val="false"/>
                <w:color w:val="000000"/>
              </w:rPr>
              <w:t xml:space="preserve">70</w:t>
            </w:r>
          </w:p>
        </w:tc>
        <w:tc>
          <w:tcPr>
            <w:tcW w:type="dxa" w:w="1700"/>
            <w:shd w:fill="FFFFFF" w:val="clear"/>
            <w:tcMar>
              <w:top w:type="dxa" w:w="80"/>
              <w:left w:type="dxa" w:w="100"/>
              <w:bottom w:type="dxa" w:w="80"/>
              <w:right w:type="dxa" w:w="100"/>
            </w:tcMar>
          </w:tcPr>
          <w:p>
            <w:pPr>
              <w:jc w:val="center"/>
            </w:pPr>
            <w:r>
              <w:rPr>
                <w:b w:val="false"/>
                <w:bCs w:val="false"/>
                <w:color w:val="000000"/>
              </w:rPr>
              <w:t xml:space="preserve">9,703.89</w:t>
            </w:r>
          </w:p>
        </w:tc>
        <w:tc>
          <w:tcPr>
            <w:tcW w:type="dxa" w:w="900"/>
            <w:shd w:fill="FFFFFF" w:val="clear"/>
            <w:tcMar>
              <w:top w:type="dxa" w:w="80"/>
              <w:left w:type="dxa" w:w="100"/>
              <w:bottom w:type="dxa" w:w="80"/>
              <w:right w:type="dxa" w:w="100"/>
            </w:tcMar>
          </w:tcPr>
          <w:p>
            <w:pPr>
              <w:jc w:val="center"/>
            </w:pPr>
            <w:r>
              <w:rPr>
                <w:b w:val="false"/>
                <w:bCs w:val="false"/>
                <w:color w:val="000000"/>
              </w:rPr>
              <w:t xml:space="preserve">45</w:t>
            </w:r>
          </w:p>
        </w:tc>
        <w:tc>
          <w:tcPr>
            <w:tcW w:type="dxa" w:w="1200"/>
            <w:shd w:fill="FFFFFF" w:val="clear"/>
            <w:tcMar>
              <w:top w:type="dxa" w:w="80"/>
              <w:left w:type="dxa" w:w="100"/>
              <w:bottom w:type="dxa" w:w="80"/>
              <w:right w:type="dxa" w:w="100"/>
            </w:tcMar>
          </w:tcPr>
          <w:p>
            <w:pPr>
              <w:jc w:val="center"/>
            </w:pPr>
            <w:r>
              <w:rPr>
                <w:b w:val="false"/>
                <w:bCs w:val="false"/>
                <w:color w:val="000000"/>
              </w:rPr>
              <w:t xml:space="preserve">Female</w:t>
            </w:r>
          </w:p>
        </w:tc>
        <w:tc>
          <w:tcPr>
            <w:tcW w:type="dxa" w:w="1600"/>
            <w:shd w:fill="FFFFFF" w:val="clear"/>
            <w:tcMar>
              <w:top w:type="dxa" w:w="80"/>
              <w:left w:type="dxa" w:w="100"/>
              <w:bottom w:type="dxa" w:w="80"/>
              <w:right w:type="dxa" w:w="100"/>
            </w:tcMar>
          </w:tcPr>
          <w:p>
            <w:pPr>
              <w:jc w:val="center"/>
            </w:pPr>
            <w:r>
              <w:rPr>
                <w:b w:val="false"/>
                <w:bCs w:val="false"/>
                <w:color w:val="000000"/>
              </w:rPr>
              <w:t xml:space="preserve">Debit Card</w:t>
            </w:r>
          </w:p>
        </w:tc>
      </w:tr>
      <w:tr>
        <w:tc>
          <w:tcPr>
            <w:tcW w:type="dxa" w:w="1500"/>
            <w:shd w:fill="F2F6FA" w:val="clear"/>
            <w:tcMar>
              <w:top w:type="dxa" w:w="80"/>
              <w:left w:type="dxa" w:w="100"/>
              <w:bottom w:type="dxa" w:w="80"/>
              <w:right w:type="dxa" w:w="100"/>
            </w:tcMar>
          </w:tcPr>
          <w:p>
            <w:pPr>
              <w:jc w:val="left"/>
            </w:pPr>
            <w:r>
              <w:rPr>
                <w:b w:val="false"/>
                <w:bCs w:val="false"/>
                <w:color w:val="000000"/>
              </w:rPr>
              <w:t xml:space="preserve">2024-07-13</w:t>
            </w:r>
          </w:p>
        </w:tc>
        <w:tc>
          <w:tcPr>
            <w:tcW w:type="dxa" w:w="1400"/>
            <w:shd w:fill="F2F6FA" w:val="clear"/>
            <w:tcMar>
              <w:top w:type="dxa" w:w="80"/>
              <w:left w:type="dxa" w:w="100"/>
              <w:bottom w:type="dxa" w:w="80"/>
              <w:right w:type="dxa" w:w="100"/>
            </w:tcMar>
          </w:tcPr>
          <w:p>
            <w:pPr>
              <w:jc w:val="center"/>
            </w:pPr>
            <w:r>
              <w:rPr>
                <w:b w:val="false"/>
                <w:bCs w:val="false"/>
                <w:color w:val="000000"/>
              </w:rPr>
              <w:t xml:space="preserve">975.77</w:t>
            </w:r>
          </w:p>
        </w:tc>
        <w:tc>
          <w:tcPr>
            <w:tcW w:type="dxa" w:w="1300"/>
            <w:shd w:fill="F2F6FA" w:val="clear"/>
            <w:tcMar>
              <w:top w:type="dxa" w:w="80"/>
              <w:left w:type="dxa" w:w="100"/>
              <w:bottom w:type="dxa" w:w="80"/>
              <w:right w:type="dxa" w:w="100"/>
            </w:tcMar>
          </w:tcPr>
          <w:p>
            <w:pPr>
              <w:jc w:val="center"/>
            </w:pPr>
            <w:r>
              <w:rPr>
                <w:b w:val="false"/>
                <w:bCs w:val="false"/>
                <w:color w:val="000000"/>
              </w:rPr>
              <w:t xml:space="preserve">63</w:t>
            </w:r>
          </w:p>
        </w:tc>
        <w:tc>
          <w:tcPr>
            <w:tcW w:type="dxa" w:w="1700"/>
            <w:shd w:fill="F2F6FA" w:val="clear"/>
            <w:tcMar>
              <w:top w:type="dxa" w:w="80"/>
              <w:left w:type="dxa" w:w="100"/>
              <w:bottom w:type="dxa" w:w="80"/>
              <w:right w:type="dxa" w:w="100"/>
            </w:tcMar>
          </w:tcPr>
          <w:p>
            <w:pPr>
              <w:jc w:val="center"/>
            </w:pPr>
            <w:r>
              <w:rPr>
                <w:b w:val="false"/>
                <w:bCs w:val="false"/>
                <w:color w:val="000000"/>
              </w:rPr>
              <w:t xml:space="preserve">8,300.22</w:t>
            </w:r>
          </w:p>
        </w:tc>
        <w:tc>
          <w:tcPr>
            <w:tcW w:type="dxa" w:w="900"/>
            <w:shd w:fill="F2F6FA" w:val="clear"/>
            <w:tcMar>
              <w:top w:type="dxa" w:w="80"/>
              <w:left w:type="dxa" w:w="100"/>
              <w:bottom w:type="dxa" w:w="80"/>
              <w:right w:type="dxa" w:w="100"/>
            </w:tcMar>
          </w:tcPr>
          <w:p>
            <w:pPr>
              <w:jc w:val="center"/>
            </w:pPr>
            <w:r>
              <w:rPr>
                <w:b w:val="false"/>
                <w:bCs w:val="false"/>
                <w:color w:val="000000"/>
              </w:rPr>
              <w:t xml:space="preserve">23</w:t>
            </w:r>
          </w:p>
        </w:tc>
        <w:tc>
          <w:tcPr>
            <w:tcW w:type="dxa" w:w="1200"/>
            <w:shd w:fill="F2F6FA" w:val="clear"/>
            <w:tcMar>
              <w:top w:type="dxa" w:w="80"/>
              <w:left w:type="dxa" w:w="100"/>
              <w:bottom w:type="dxa" w:w="80"/>
              <w:right w:type="dxa" w:w="100"/>
            </w:tcMar>
          </w:tcPr>
          <w:p>
            <w:pPr>
              <w:jc w:val="center"/>
            </w:pPr>
            <w:r>
              <w:rPr>
                <w:b w:val="false"/>
                <w:bCs w:val="false"/>
                <w:color w:val="000000"/>
              </w:rPr>
              <w:t xml:space="preserve">Other</w:t>
            </w:r>
          </w:p>
        </w:tc>
        <w:tc>
          <w:tcPr>
            <w:tcW w:type="dxa" w:w="1600"/>
            <w:shd w:fill="F2F6FA" w:val="clear"/>
            <w:tcMar>
              <w:top w:type="dxa" w:w="80"/>
              <w:left w:type="dxa" w:w="100"/>
              <w:bottom w:type="dxa" w:w="80"/>
              <w:right w:type="dxa" w:w="100"/>
            </w:tcMar>
          </w:tcPr>
          <w:p>
            <w:pPr>
              <w:jc w:val="center"/>
            </w:pPr>
            <w:r>
              <w:rPr>
                <w:b w:val="false"/>
                <w:bCs w:val="false"/>
                <w:color w:val="000000"/>
              </w:rPr>
              <w:t xml:space="preserve">Online</w:t>
            </w:r>
          </w:p>
        </w:tc>
      </w:tr>
      <w:tr>
        <w:tc>
          <w:tcPr>
            <w:tcW w:type="dxa" w:w="1500"/>
            <w:shd w:fill="FFFFFF" w:val="clear"/>
            <w:tcMar>
              <w:top w:type="dxa" w:w="80"/>
              <w:left w:type="dxa" w:w="100"/>
              <w:bottom w:type="dxa" w:w="80"/>
              <w:right w:type="dxa" w:w="100"/>
            </w:tcMar>
          </w:tcPr>
          <w:p>
            <w:pPr>
              <w:jc w:val="left"/>
            </w:pPr>
            <w:r>
              <w:rPr>
                <w:b w:val="false"/>
                <w:bCs w:val="false"/>
                <w:color w:val="000000"/>
              </w:rPr>
              <w:t xml:space="preserve">2024-03-18</w:t>
            </w:r>
          </w:p>
        </w:tc>
        <w:tc>
          <w:tcPr>
            <w:tcW w:type="dxa" w:w="1400"/>
            <w:shd w:fill="FFFFFF" w:val="clear"/>
            <w:tcMar>
              <w:top w:type="dxa" w:w="80"/>
              <w:left w:type="dxa" w:w="100"/>
              <w:bottom w:type="dxa" w:w="80"/>
              <w:right w:type="dxa" w:w="100"/>
            </w:tcMar>
          </w:tcPr>
          <w:p>
            <w:pPr>
              <w:jc w:val="center"/>
            </w:pPr>
            <w:r>
              <w:rPr>
                <w:b w:val="false"/>
                <w:bCs w:val="false"/>
                <w:color w:val="000000"/>
              </w:rPr>
              <w:t xml:space="preserve">530.70</w:t>
            </w:r>
          </w:p>
        </w:tc>
        <w:tc>
          <w:tcPr>
            <w:tcW w:type="dxa" w:w="1300"/>
            <w:shd w:fill="FFFFFF" w:val="clear"/>
            <w:tcMar>
              <w:top w:type="dxa" w:w="80"/>
              <w:left w:type="dxa" w:w="100"/>
              <w:bottom w:type="dxa" w:w="80"/>
              <w:right w:type="dxa" w:w="100"/>
            </w:tcMar>
          </w:tcPr>
          <w:p>
            <w:pPr>
              <w:jc w:val="center"/>
            </w:pPr>
            <w:r>
              <w:rPr>
                <w:b w:val="false"/>
                <w:bCs w:val="false"/>
                <w:color w:val="000000"/>
              </w:rPr>
              <w:t xml:space="preserve">79</w:t>
            </w:r>
          </w:p>
        </w:tc>
        <w:tc>
          <w:tcPr>
            <w:tcW w:type="dxa" w:w="1700"/>
            <w:shd w:fill="FFFFFF" w:val="clear"/>
            <w:tcMar>
              <w:top w:type="dxa" w:w="80"/>
              <w:left w:type="dxa" w:w="100"/>
              <w:bottom w:type="dxa" w:w="80"/>
              <w:right w:type="dxa" w:w="100"/>
            </w:tcMar>
          </w:tcPr>
          <w:p>
            <w:pPr>
              <w:jc w:val="center"/>
            </w:pPr>
            <w:r>
              <w:rPr>
                <w:b w:val="false"/>
                <w:bCs w:val="false"/>
                <w:color w:val="000000"/>
              </w:rPr>
              <w:t xml:space="preserve">4,515.80</w:t>
            </w:r>
          </w:p>
        </w:tc>
        <w:tc>
          <w:tcPr>
            <w:tcW w:type="dxa" w:w="900"/>
            <w:shd w:fill="FFFFFF" w:val="clear"/>
            <w:tcMar>
              <w:top w:type="dxa" w:w="80"/>
              <w:left w:type="dxa" w:w="100"/>
              <w:bottom w:type="dxa" w:w="80"/>
              <w:right w:type="dxa" w:w="100"/>
            </w:tcMar>
          </w:tcPr>
          <w:p>
            <w:pPr>
              <w:jc w:val="center"/>
            </w:pPr>
            <w:r>
              <w:rPr>
                <w:b w:val="false"/>
                <w:bCs w:val="false"/>
                <w:color w:val="000000"/>
              </w:rPr>
              <w:t xml:space="preserve">26</w:t>
            </w:r>
          </w:p>
        </w:tc>
        <w:tc>
          <w:tcPr>
            <w:tcW w:type="dxa" w:w="1200"/>
            <w:shd w:fill="FFFFFF" w:val="clear"/>
            <w:tcMar>
              <w:top w:type="dxa" w:w="80"/>
              <w:left w:type="dxa" w:w="100"/>
              <w:bottom w:type="dxa" w:w="80"/>
              <w:right w:type="dxa" w:w="100"/>
            </w:tcMar>
          </w:tcPr>
          <w:p>
            <w:pPr>
              <w:jc w:val="center"/>
            </w:pPr>
            <w:r>
              <w:rPr>
                <w:b w:val="false"/>
                <w:bCs w:val="false"/>
                <w:color w:val="000000"/>
              </w:rPr>
              <w:t xml:space="preserve">Female</w:t>
            </w:r>
          </w:p>
        </w:tc>
        <w:tc>
          <w:tcPr>
            <w:tcW w:type="dxa" w:w="1600"/>
            <w:shd w:fill="FFFFFF" w:val="clear"/>
            <w:tcMar>
              <w:top w:type="dxa" w:w="80"/>
              <w:left w:type="dxa" w:w="100"/>
              <w:bottom w:type="dxa" w:w="80"/>
              <w:right w:type="dxa" w:w="100"/>
            </w:tcMar>
          </w:tcPr>
          <w:p>
            <w:pPr>
              <w:jc w:val="center"/>
            </w:pPr>
            <w:r>
              <w:rPr>
                <w:b w:val="false"/>
                <w:bCs w:val="false"/>
                <w:color w:val="000000"/>
              </w:rPr>
              <w:t xml:space="preserve">Online</w:t>
            </w:r>
          </w:p>
        </w:tc>
      </w:tr>
      <w:tr>
        <w:tc>
          <w:tcPr>
            <w:tcW w:type="dxa" w:w="1500"/>
            <w:shd w:fill="F2F6FA" w:val="clear"/>
            <w:tcMar>
              <w:top w:type="dxa" w:w="80"/>
              <w:left w:type="dxa" w:w="100"/>
              <w:bottom w:type="dxa" w:w="80"/>
              <w:right w:type="dxa" w:w="100"/>
            </w:tcMar>
          </w:tcPr>
          <w:p>
            <w:pPr>
              <w:jc w:val="left"/>
            </w:pPr>
            <w:r>
              <w:rPr>
                <w:b w:val="false"/>
                <w:bCs w:val="false"/>
                <w:color w:val="000000"/>
              </w:rPr>
              <w:t xml:space="preserve">2024-04-12</w:t>
            </w:r>
          </w:p>
        </w:tc>
        <w:tc>
          <w:tcPr>
            <w:tcW w:type="dxa" w:w="1400"/>
            <w:shd w:fill="F2F6FA" w:val="clear"/>
            <w:tcMar>
              <w:top w:type="dxa" w:w="80"/>
              <w:left w:type="dxa" w:w="100"/>
              <w:bottom w:type="dxa" w:w="80"/>
              <w:right w:type="dxa" w:w="100"/>
            </w:tcMar>
          </w:tcPr>
          <w:p>
            <w:pPr>
              <w:jc w:val="center"/>
            </w:pPr>
            <w:r>
              <w:rPr>
                <w:b w:val="false"/>
                <w:bCs w:val="false"/>
                <w:color w:val="000000"/>
              </w:rPr>
              <w:t xml:space="preserve">178.52</w:t>
            </w:r>
          </w:p>
        </w:tc>
        <w:tc>
          <w:tcPr>
            <w:tcW w:type="dxa" w:w="1300"/>
            <w:shd w:fill="F2F6FA" w:val="clear"/>
            <w:tcMar>
              <w:top w:type="dxa" w:w="80"/>
              <w:left w:type="dxa" w:w="100"/>
              <w:bottom w:type="dxa" w:w="80"/>
              <w:right w:type="dxa" w:w="100"/>
            </w:tcMar>
          </w:tcPr>
          <w:p>
            <w:pPr>
              <w:jc w:val="center"/>
            </w:pPr>
            <w:r>
              <w:rPr>
                <w:b w:val="false"/>
                <w:bCs w:val="false"/>
                <w:color w:val="000000"/>
              </w:rPr>
              <w:t xml:space="preserve">58</w:t>
            </w:r>
          </w:p>
        </w:tc>
        <w:tc>
          <w:tcPr>
            <w:tcW w:type="dxa" w:w="1700"/>
            <w:shd w:fill="F2F6FA" w:val="clear"/>
            <w:tcMar>
              <w:top w:type="dxa" w:w="80"/>
              <w:left w:type="dxa" w:w="100"/>
              <w:bottom w:type="dxa" w:w="80"/>
              <w:right w:type="dxa" w:w="100"/>
            </w:tcMar>
          </w:tcPr>
          <w:p>
            <w:pPr>
              <w:jc w:val="center"/>
            </w:pPr>
            <w:r>
              <w:rPr>
                <w:b w:val="false"/>
                <w:bCs w:val="false"/>
                <w:color w:val="000000"/>
              </w:rPr>
              <w:t xml:space="preserve">36,150.93</w:t>
            </w:r>
          </w:p>
        </w:tc>
        <w:tc>
          <w:tcPr>
            <w:tcW w:type="dxa" w:w="900"/>
            <w:shd w:fill="F2F6FA" w:val="clear"/>
            <w:tcMar>
              <w:top w:type="dxa" w:w="80"/>
              <w:left w:type="dxa" w:w="100"/>
              <w:bottom w:type="dxa" w:w="80"/>
              <w:right w:type="dxa" w:w="100"/>
            </w:tcMar>
          </w:tcPr>
          <w:p>
            <w:pPr>
              <w:jc w:val="center"/>
            </w:pPr>
            <w:r>
              <w:rPr>
                <w:b w:val="false"/>
                <w:bCs w:val="false"/>
                <w:color w:val="000000"/>
              </w:rPr>
              <w:t xml:space="preserve">20</w:t>
            </w:r>
          </w:p>
        </w:tc>
        <w:tc>
          <w:tcPr>
            <w:tcW w:type="dxa" w:w="1200"/>
            <w:shd w:fill="F2F6FA" w:val="clear"/>
            <w:tcMar>
              <w:top w:type="dxa" w:w="80"/>
              <w:left w:type="dxa" w:w="100"/>
              <w:bottom w:type="dxa" w:w="80"/>
              <w:right w:type="dxa" w:w="100"/>
            </w:tcMar>
          </w:tcPr>
          <w:p>
            <w:pPr>
              <w:jc w:val="center"/>
            </w:pPr>
            <w:r>
              <w:rPr>
                <w:b w:val="false"/>
                <w:bCs w:val="false"/>
                <w:color w:val="000000"/>
              </w:rPr>
              <w:t xml:space="preserve">Female</w:t>
            </w:r>
          </w:p>
        </w:tc>
        <w:tc>
          <w:tcPr>
            <w:tcW w:type="dxa" w:w="1600"/>
            <w:shd w:fill="F2F6FA" w:val="clear"/>
            <w:tcMar>
              <w:top w:type="dxa" w:w="80"/>
              <w:left w:type="dxa" w:w="100"/>
              <w:bottom w:type="dxa" w:w="80"/>
              <w:right w:type="dxa" w:w="100"/>
            </w:tcMar>
          </w:tcPr>
          <w:p>
            <w:pPr>
              <w:jc w:val="center"/>
            </w:pPr>
            <w:r>
              <w:rPr>
                <w:b w:val="false"/>
                <w:bCs w:val="false"/>
                <w:color w:val="000000"/>
              </w:rPr>
              <w:t xml:space="preserve">Debit Card</w:t>
            </w:r>
          </w:p>
        </w:tc>
      </w:tr>
      <w:tr>
        <w:tc>
          <w:tcPr>
            <w:tcW w:type="dxa" w:w="1500"/>
            <w:shd w:fill="FFFFFF" w:val="clear"/>
            <w:tcMar>
              <w:top w:type="dxa" w:w="80"/>
              <w:left w:type="dxa" w:w="100"/>
              <w:bottom w:type="dxa" w:w="80"/>
              <w:right w:type="dxa" w:w="100"/>
            </w:tcMar>
          </w:tcPr>
          <w:p>
            <w:pPr>
              <w:jc w:val="left"/>
            </w:pPr>
            <w:r>
              <w:rPr>
                <w:b w:val="false"/>
                <w:bCs w:val="false"/>
                <w:color w:val="000000"/>
              </w:rPr>
              <w:t xml:space="preserve">2024-04-19</w:t>
            </w:r>
          </w:p>
        </w:tc>
        <w:tc>
          <w:tcPr>
            <w:tcW w:type="dxa" w:w="1400"/>
            <w:shd w:fill="FFFFFF" w:val="clear"/>
            <w:tcMar>
              <w:top w:type="dxa" w:w="80"/>
              <w:left w:type="dxa" w:w="100"/>
              <w:bottom w:type="dxa" w:w="80"/>
              <w:right w:type="dxa" w:w="100"/>
            </w:tcMar>
          </w:tcPr>
          <w:p>
            <w:pPr>
              <w:jc w:val="center"/>
            </w:pPr>
            <w:r>
              <w:rPr>
                <w:b w:val="false"/>
                <w:bCs w:val="false"/>
                <w:color w:val="000000"/>
              </w:rPr>
              <w:t xml:space="preserve">774.79</w:t>
            </w:r>
          </w:p>
        </w:tc>
        <w:tc>
          <w:tcPr>
            <w:tcW w:type="dxa" w:w="1300"/>
            <w:shd w:fill="FFFFFF" w:val="clear"/>
            <w:tcMar>
              <w:top w:type="dxa" w:w="80"/>
              <w:left w:type="dxa" w:w="100"/>
              <w:bottom w:type="dxa" w:w="80"/>
              <w:right w:type="dxa" w:w="100"/>
            </w:tcMar>
          </w:tcPr>
          <w:p>
            <w:pPr>
              <w:jc w:val="center"/>
            </w:pPr>
            <w:r>
              <w:rPr>
                <w:b w:val="false"/>
                <w:bCs w:val="false"/>
                <w:color w:val="000000"/>
              </w:rPr>
              <w:t xml:space="preserve">92</w:t>
            </w:r>
          </w:p>
        </w:tc>
        <w:tc>
          <w:tcPr>
            <w:tcW w:type="dxa" w:w="1700"/>
            <w:shd w:fill="FFFFFF" w:val="clear"/>
            <w:tcMar>
              <w:top w:type="dxa" w:w="80"/>
              <w:left w:type="dxa" w:w="100"/>
              <w:bottom w:type="dxa" w:w="80"/>
              <w:right w:type="dxa" w:w="100"/>
            </w:tcMar>
          </w:tcPr>
          <w:p>
            <w:pPr>
              <w:jc w:val="center"/>
            </w:pPr>
            <w:r>
              <w:rPr>
                <w:b w:val="false"/>
                <w:bCs w:val="false"/>
                <w:color w:val="000000"/>
              </w:rPr>
              <w:t xml:space="preserve">24,228.27</w:t>
            </w:r>
          </w:p>
        </w:tc>
        <w:tc>
          <w:tcPr>
            <w:tcW w:type="dxa" w:w="900"/>
            <w:shd w:fill="FFFFFF" w:val="clear"/>
            <w:tcMar>
              <w:top w:type="dxa" w:w="80"/>
              <w:left w:type="dxa" w:w="100"/>
              <w:bottom w:type="dxa" w:w="80"/>
              <w:right w:type="dxa" w:w="100"/>
            </w:tcMar>
          </w:tcPr>
          <w:p>
            <w:pPr>
              <w:jc w:val="center"/>
            </w:pPr>
            <w:r>
              <w:rPr>
                <w:b w:val="false"/>
                <w:bCs w:val="false"/>
                <w:color w:val="000000"/>
              </w:rPr>
              <w:t xml:space="preserve">33</w:t>
            </w:r>
          </w:p>
        </w:tc>
        <w:tc>
          <w:tcPr>
            <w:tcW w:type="dxa" w:w="1200"/>
            <w:shd w:fill="FFFFFF" w:val="clear"/>
            <w:tcMar>
              <w:top w:type="dxa" w:w="80"/>
              <w:left w:type="dxa" w:w="100"/>
              <w:bottom w:type="dxa" w:w="80"/>
              <w:right w:type="dxa" w:w="100"/>
            </w:tcMar>
          </w:tcPr>
          <w:p>
            <w:pPr>
              <w:jc w:val="center"/>
            </w:pPr>
            <w:r>
              <w:rPr>
                <w:b w:val="false"/>
                <w:bCs w:val="false"/>
                <w:color w:val="000000"/>
              </w:rPr>
              <w:t xml:space="preserve">Male</w:t>
            </w:r>
          </w:p>
        </w:tc>
        <w:tc>
          <w:tcPr>
            <w:tcW w:type="dxa" w:w="1600"/>
            <w:shd w:fill="FFFFFF" w:val="clear"/>
            <w:tcMar>
              <w:top w:type="dxa" w:w="80"/>
              <w:left w:type="dxa" w:w="100"/>
              <w:bottom w:type="dxa" w:w="80"/>
              <w:right w:type="dxa" w:w="100"/>
            </w:tcMar>
          </w:tcPr>
          <w:p>
            <w:pPr>
              <w:jc w:val="center"/>
            </w:pPr>
            <w:r>
              <w:rPr>
                <w:b w:val="false"/>
                <w:bCs w:val="false"/>
                <w:color w:val="000000"/>
              </w:rPr>
              <w:t xml:space="preserve">Online</w:t>
            </w:r>
          </w:p>
        </w:tc>
      </w:tr>
      <w:tr>
        <w:tc>
          <w:tcPr>
            <w:tcW w:type="dxa" w:w="1500"/>
            <w:shd w:fill="F2F6FA" w:val="clear"/>
            <w:tcMar>
              <w:top w:type="dxa" w:w="80"/>
              <w:left w:type="dxa" w:w="100"/>
              <w:bottom w:type="dxa" w:w="80"/>
              <w:right w:type="dxa" w:w="100"/>
            </w:tcMar>
          </w:tcPr>
          <w:p>
            <w:pPr>
              <w:jc w:val="left"/>
            </w:pPr>
            <w:r>
              <w:rPr>
                <w:b w:val="false"/>
                <w:bCs w:val="false"/>
                <w:color w:val="000000"/>
              </w:rPr>
              <w:t xml:space="preserve">2024-02-18</w:t>
            </w:r>
          </w:p>
        </w:tc>
        <w:tc>
          <w:tcPr>
            <w:tcW w:type="dxa" w:w="1400"/>
            <w:shd w:fill="F2F6FA" w:val="clear"/>
            <w:tcMar>
              <w:top w:type="dxa" w:w="80"/>
              <w:left w:type="dxa" w:w="100"/>
              <w:bottom w:type="dxa" w:w="80"/>
              <w:right w:type="dxa" w:w="100"/>
            </w:tcMar>
          </w:tcPr>
          <w:p>
            <w:pPr>
              <w:jc w:val="center"/>
            </w:pPr>
            <w:r>
              <w:rPr>
                <w:b w:val="false"/>
                <w:bCs w:val="false"/>
                <w:color w:val="000000"/>
              </w:rPr>
              <w:t xml:space="preserve">317.64</w:t>
            </w:r>
          </w:p>
        </w:tc>
        <w:tc>
          <w:tcPr>
            <w:tcW w:type="dxa" w:w="1300"/>
            <w:shd w:fill="F2F6FA" w:val="clear"/>
            <w:tcMar>
              <w:top w:type="dxa" w:w="80"/>
              <w:left w:type="dxa" w:w="100"/>
              <w:bottom w:type="dxa" w:w="80"/>
              <w:right w:type="dxa" w:w="100"/>
            </w:tcMar>
          </w:tcPr>
          <w:p>
            <w:pPr>
              <w:jc w:val="center"/>
            </w:pPr>
            <w:r>
              <w:rPr>
                <w:b w:val="false"/>
                <w:bCs w:val="false"/>
                <w:color w:val="000000"/>
              </w:rPr>
              <w:t xml:space="preserve">21</w:t>
            </w:r>
          </w:p>
        </w:tc>
        <w:tc>
          <w:tcPr>
            <w:tcW w:type="dxa" w:w="1700"/>
            <w:shd w:fill="F2F6FA" w:val="clear"/>
            <w:tcMar>
              <w:top w:type="dxa" w:w="80"/>
              <w:left w:type="dxa" w:w="100"/>
              <w:bottom w:type="dxa" w:w="80"/>
              <w:right w:type="dxa" w:w="100"/>
            </w:tcMar>
          </w:tcPr>
          <w:p>
            <w:pPr>
              <w:jc w:val="center"/>
            </w:pPr>
            <w:r>
              <w:rPr>
                <w:b w:val="false"/>
                <w:bCs w:val="false"/>
                <w:color w:val="000000"/>
              </w:rPr>
              <w:t xml:space="preserve">1,00,809.36</w:t>
            </w:r>
          </w:p>
        </w:tc>
        <w:tc>
          <w:tcPr>
            <w:tcW w:type="dxa" w:w="900"/>
            <w:shd w:fill="F2F6FA" w:val="clear"/>
            <w:tcMar>
              <w:top w:type="dxa" w:w="80"/>
              <w:left w:type="dxa" w:w="100"/>
              <w:bottom w:type="dxa" w:w="80"/>
              <w:right w:type="dxa" w:w="100"/>
            </w:tcMar>
          </w:tcPr>
          <w:p>
            <w:pPr>
              <w:jc w:val="center"/>
            </w:pPr>
            <w:r>
              <w:rPr>
                <w:b w:val="false"/>
                <w:bCs w:val="false"/>
                <w:color w:val="000000"/>
              </w:rPr>
              <w:t xml:space="preserve">62</w:t>
            </w:r>
          </w:p>
        </w:tc>
        <w:tc>
          <w:tcPr>
            <w:tcW w:type="dxa" w:w="1200"/>
            <w:shd w:fill="F2F6FA" w:val="clear"/>
            <w:tcMar>
              <w:top w:type="dxa" w:w="80"/>
              <w:left w:type="dxa" w:w="100"/>
              <w:bottom w:type="dxa" w:w="80"/>
              <w:right w:type="dxa" w:w="100"/>
            </w:tcMar>
          </w:tcPr>
          <w:p>
            <w:pPr>
              <w:jc w:val="center"/>
            </w:pPr>
            <w:r>
              <w:rPr>
                <w:b w:val="false"/>
                <w:bCs w:val="false"/>
                <w:color w:val="000000"/>
              </w:rPr>
              <w:t xml:space="preserve">Female</w:t>
            </w:r>
          </w:p>
        </w:tc>
        <w:tc>
          <w:tcPr>
            <w:tcW w:type="dxa" w:w="1600"/>
            <w:shd w:fill="F2F6FA" w:val="clear"/>
            <w:tcMar>
              <w:top w:type="dxa" w:w="80"/>
              <w:left w:type="dxa" w:w="100"/>
              <w:bottom w:type="dxa" w:w="80"/>
              <w:right w:type="dxa" w:w="100"/>
            </w:tcMar>
          </w:tcPr>
          <w:p>
            <w:pPr>
              <w:jc w:val="center"/>
            </w:pPr>
            <w:r>
              <w:rPr>
                <w:b w:val="false"/>
                <w:bCs w:val="false"/>
                <w:color w:val="000000"/>
              </w:rPr>
              <w:t xml:space="preserve">Debit Card</w:t>
            </w:r>
          </w:p>
        </w:tc>
      </w:tr>
      <w:tr>
        <w:tc>
          <w:tcPr>
            <w:tcW w:type="dxa" w:w="1500"/>
            <w:shd w:fill="FFFFFF" w:val="clear"/>
            <w:tcMar>
              <w:top w:type="dxa" w:w="80"/>
              <w:left w:type="dxa" w:w="100"/>
              <w:bottom w:type="dxa" w:w="80"/>
              <w:right w:type="dxa" w:w="100"/>
            </w:tcMar>
          </w:tcPr>
          <w:p>
            <w:pPr>
              <w:jc w:val="left"/>
            </w:pPr>
            <w:r>
              <w:rPr>
                <w:b w:val="false"/>
                <w:bCs w:val="false"/>
                <w:color w:val="000000"/>
              </w:rPr>
              <w:t xml:space="preserve">2024-07-02</w:t>
            </w:r>
          </w:p>
        </w:tc>
        <w:tc>
          <w:tcPr>
            <w:tcW w:type="dxa" w:w="1400"/>
            <w:shd w:fill="FFFFFF" w:val="clear"/>
            <w:tcMar>
              <w:top w:type="dxa" w:w="80"/>
              <w:left w:type="dxa" w:w="100"/>
              <w:bottom w:type="dxa" w:w="80"/>
              <w:right w:type="dxa" w:w="100"/>
            </w:tcMar>
          </w:tcPr>
          <w:p>
            <w:pPr>
              <w:jc w:val="center"/>
            </w:pPr>
            <w:r>
              <w:rPr>
                <w:b w:val="false"/>
                <w:bCs w:val="false"/>
                <w:color w:val="000000"/>
              </w:rPr>
              <w:t xml:space="preserve">965.15</w:t>
            </w:r>
          </w:p>
        </w:tc>
        <w:tc>
          <w:tcPr>
            <w:tcW w:type="dxa" w:w="1300"/>
            <w:shd w:fill="FFFFFF" w:val="clear"/>
            <w:tcMar>
              <w:top w:type="dxa" w:w="80"/>
              <w:left w:type="dxa" w:w="100"/>
              <w:bottom w:type="dxa" w:w="80"/>
              <w:right w:type="dxa" w:w="100"/>
            </w:tcMar>
          </w:tcPr>
          <w:p>
            <w:pPr>
              <w:jc w:val="center"/>
            </w:pPr>
            <w:r>
              <w:rPr>
                <w:b w:val="false"/>
                <w:bCs w:val="false"/>
                <w:color w:val="000000"/>
              </w:rPr>
              <w:t xml:space="preserve">76</w:t>
            </w:r>
          </w:p>
        </w:tc>
        <w:tc>
          <w:tcPr>
            <w:tcW w:type="dxa" w:w="1700"/>
            <w:shd w:fill="FFFFFF" w:val="clear"/>
            <w:tcMar>
              <w:top w:type="dxa" w:w="80"/>
              <w:left w:type="dxa" w:w="100"/>
              <w:bottom w:type="dxa" w:w="80"/>
              <w:right w:type="dxa" w:w="100"/>
            </w:tcMar>
          </w:tcPr>
          <w:p>
            <w:pPr>
              <w:jc w:val="center"/>
            </w:pPr>
            <w:r>
              <w:rPr>
                <w:b w:val="false"/>
                <w:bCs w:val="false"/>
                <w:color w:val="000000"/>
              </w:rPr>
              <w:t xml:space="preserve">1,12,966.65</w:t>
            </w:r>
          </w:p>
        </w:tc>
        <w:tc>
          <w:tcPr>
            <w:tcW w:type="dxa" w:w="900"/>
            <w:shd w:fill="FFFFFF" w:val="clear"/>
            <w:tcMar>
              <w:top w:type="dxa" w:w="80"/>
              <w:left w:type="dxa" w:w="100"/>
              <w:bottom w:type="dxa" w:w="80"/>
              <w:right w:type="dxa" w:w="100"/>
            </w:tcMar>
          </w:tcPr>
          <w:p>
            <w:pPr>
              <w:jc w:val="center"/>
            </w:pPr>
            <w:r>
              <w:rPr>
                <w:b w:val="false"/>
                <w:bCs w:val="false"/>
                <w:color w:val="000000"/>
              </w:rPr>
              <w:t xml:space="preserve">53</w:t>
            </w:r>
          </w:p>
        </w:tc>
        <w:tc>
          <w:tcPr>
            <w:tcW w:type="dxa" w:w="1200"/>
            <w:shd w:fill="FFFFFF" w:val="clear"/>
            <w:tcMar>
              <w:top w:type="dxa" w:w="80"/>
              <w:left w:type="dxa" w:w="100"/>
              <w:bottom w:type="dxa" w:w="80"/>
              <w:right w:type="dxa" w:w="100"/>
            </w:tcMar>
          </w:tcPr>
          <w:p>
            <w:pPr>
              <w:jc w:val="center"/>
            </w:pPr>
            <w:r>
              <w:rPr>
                <w:b w:val="false"/>
                <w:bCs w:val="false"/>
                <w:color w:val="000000"/>
              </w:rPr>
              <w:t xml:space="preserve">Other</w:t>
            </w:r>
          </w:p>
        </w:tc>
        <w:tc>
          <w:tcPr>
            <w:tcW w:type="dxa" w:w="1600"/>
            <w:shd w:fill="FFFFFF" w:val="clear"/>
            <w:tcMar>
              <w:top w:type="dxa" w:w="80"/>
              <w:left w:type="dxa" w:w="100"/>
              <w:bottom w:type="dxa" w:w="80"/>
              <w:right w:type="dxa" w:w="100"/>
            </w:tcMar>
          </w:tcPr>
          <w:p>
            <w:pPr>
              <w:jc w:val="center"/>
            </w:pPr>
            <w:r>
              <w:rPr>
                <w:b w:val="false"/>
                <w:bCs w:val="false"/>
                <w:color w:val="000000"/>
              </w:rPr>
              <w:t xml:space="preserve">Online</w:t>
            </w:r>
          </w:p>
        </w:tc>
      </w:tr>
    </w:tbl>
    <w:p>
      <w:pPr>
        <w:pStyle w:val="Heading1"/>
        <w:spacing w:after="200" w:before="400"/>
      </w:pPr>
      <w:r>
        <w:t xml:space="preserve">Appendix B: Statistical Formulae and Definitions Used</w:t>
      </w:r>
    </w:p>
    <w:tbl>
      <w:tblPr>
        <w:tblW w:type="dxa" w:w="9200"/>
        <w:tblBorders>
          <w:top w:val="single" w:color="B7C6D9" w:sz="4"/>
          <w:left w:val="single" w:color="B7C6D9" w:sz="4"/>
          <w:bottom w:val="single" w:color="B7C6D9" w:sz="4"/>
          <w:right w:val="single" w:color="B7C6D9" w:sz="4"/>
          <w:insideH w:val="single" w:color="D6E0EA" w:sz="2"/>
          <w:insideV w:val="single" w:color="D6E0EA" w:sz="2"/>
        </w:tblBorders>
      </w:tblPr>
      <w:tblGrid>
        <w:gridCol w:w="2600"/>
        <w:gridCol w:w="6600"/>
      </w:tblGrid>
      <w:tr>
        <w:trPr>
          <w:tblHeader/>
        </w:trPr>
        <w:tc>
          <w:tcPr>
            <w:tcW w:type="dxa" w:w="2600"/>
            <w:shd w:fill="1F4E79" w:val="clear"/>
            <w:tcMar>
              <w:top w:type="dxa" w:w="80"/>
              <w:left w:type="dxa" w:w="100"/>
              <w:bottom w:type="dxa" w:w="80"/>
              <w:right w:type="dxa" w:w="100"/>
            </w:tcMar>
          </w:tcPr>
          <w:p>
            <w:pPr>
              <w:jc w:val="center"/>
            </w:pPr>
            <w:r>
              <w:rPr>
                <w:b/>
                <w:bCs/>
                <w:color w:val="FFFFFF"/>
              </w:rPr>
              <w:t xml:space="preserve">Term</w:t>
            </w:r>
          </w:p>
        </w:tc>
        <w:tc>
          <w:tcPr>
            <w:tcW w:type="dxa" w:w="6600"/>
            <w:shd w:fill="1F4E79" w:val="clear"/>
            <w:tcMar>
              <w:top w:type="dxa" w:w="80"/>
              <w:left w:type="dxa" w:w="100"/>
              <w:bottom w:type="dxa" w:w="80"/>
              <w:right w:type="dxa" w:w="100"/>
            </w:tcMar>
          </w:tcPr>
          <w:p>
            <w:pPr>
              <w:jc w:val="center"/>
            </w:pPr>
            <w:r>
              <w:rPr>
                <w:b/>
                <w:bCs/>
                <w:color w:val="FFFFFF"/>
              </w:rPr>
              <w:t xml:space="preserve">Definition / Formula</w:t>
            </w:r>
          </w:p>
        </w:tc>
      </w:tr>
      <w:tr>
        <w:tc>
          <w:tcPr>
            <w:tcW w:type="dxa" w:w="2600"/>
            <w:shd w:fill="F2F6FA" w:val="clear"/>
            <w:tcMar>
              <w:top w:type="dxa" w:w="80"/>
              <w:left w:type="dxa" w:w="100"/>
              <w:bottom w:type="dxa" w:w="80"/>
              <w:right w:type="dxa" w:w="100"/>
            </w:tcMar>
          </w:tcPr>
          <w:p>
            <w:pPr>
              <w:jc w:val="left"/>
            </w:pPr>
            <w:r>
              <w:rPr>
                <w:b w:val="false"/>
                <w:bCs w:val="false"/>
                <w:color w:val="000000"/>
              </w:rPr>
              <w:t xml:space="preserve">Mean</w:t>
            </w:r>
          </w:p>
        </w:tc>
        <w:tc>
          <w:tcPr>
            <w:tcW w:type="dxa" w:w="6600"/>
            <w:shd w:fill="F2F6FA" w:val="clear"/>
            <w:tcMar>
              <w:top w:type="dxa" w:w="80"/>
              <w:left w:type="dxa" w:w="100"/>
              <w:bottom w:type="dxa" w:w="80"/>
              <w:right w:type="dxa" w:w="100"/>
            </w:tcMar>
          </w:tcPr>
          <w:p>
            <w:pPr>
              <w:jc w:val="center"/>
            </w:pPr>
            <w:r>
              <w:rPr>
                <w:b w:val="false"/>
                <w:bCs w:val="false"/>
                <w:color w:val="000000"/>
              </w:rPr>
              <w:t xml:space="preserve">Sum of all values divided by the number of observations (n)</w:t>
            </w:r>
          </w:p>
        </w:tc>
      </w:tr>
      <w:tr>
        <w:tc>
          <w:tcPr>
            <w:tcW w:type="dxa" w:w="2600"/>
            <w:shd w:fill="FFFFFF" w:val="clear"/>
            <w:tcMar>
              <w:top w:type="dxa" w:w="80"/>
              <w:left w:type="dxa" w:w="100"/>
              <w:bottom w:type="dxa" w:w="80"/>
              <w:right w:type="dxa" w:w="100"/>
            </w:tcMar>
          </w:tcPr>
          <w:p>
            <w:pPr>
              <w:jc w:val="left"/>
            </w:pPr>
            <w:r>
              <w:rPr>
                <w:b w:val="false"/>
                <w:bCs w:val="false"/>
                <w:color w:val="000000"/>
              </w:rPr>
              <w:t xml:space="preserve">Standard Deviation</w:t>
            </w:r>
          </w:p>
        </w:tc>
        <w:tc>
          <w:tcPr>
            <w:tcW w:type="dxa" w:w="6600"/>
            <w:shd w:fill="FFFFFF" w:val="clear"/>
            <w:tcMar>
              <w:top w:type="dxa" w:w="80"/>
              <w:left w:type="dxa" w:w="100"/>
              <w:bottom w:type="dxa" w:w="80"/>
              <w:right w:type="dxa" w:w="100"/>
            </w:tcMar>
          </w:tcPr>
          <w:p>
            <w:pPr>
              <w:jc w:val="center"/>
            </w:pPr>
            <w:r>
              <w:rPr>
                <w:b w:val="false"/>
                <w:bCs w:val="false"/>
                <w:color w:val="000000"/>
              </w:rPr>
              <w:t xml:space="preserve">Square root of the average of the squared differences from the mean; measures spread of data</w:t>
            </w:r>
          </w:p>
        </w:tc>
      </w:tr>
      <w:tr>
        <w:tc>
          <w:tcPr>
            <w:tcW w:type="dxa" w:w="2600"/>
            <w:shd w:fill="F2F6FA" w:val="clear"/>
            <w:tcMar>
              <w:top w:type="dxa" w:w="80"/>
              <w:left w:type="dxa" w:w="100"/>
              <w:bottom w:type="dxa" w:w="80"/>
              <w:right w:type="dxa" w:w="100"/>
            </w:tcMar>
          </w:tcPr>
          <w:p>
            <w:pPr>
              <w:jc w:val="left"/>
            </w:pPr>
            <w:r>
              <w:rPr>
                <w:b w:val="false"/>
                <w:bCs w:val="false"/>
                <w:color w:val="000000"/>
              </w:rPr>
              <w:t xml:space="preserve">Median (50th percentile)</w:t>
            </w:r>
          </w:p>
        </w:tc>
        <w:tc>
          <w:tcPr>
            <w:tcW w:type="dxa" w:w="6600"/>
            <w:shd w:fill="F2F6FA" w:val="clear"/>
            <w:tcMar>
              <w:top w:type="dxa" w:w="80"/>
              <w:left w:type="dxa" w:w="100"/>
              <w:bottom w:type="dxa" w:w="80"/>
              <w:right w:type="dxa" w:w="100"/>
            </w:tcMar>
          </w:tcPr>
          <w:p>
            <w:pPr>
              <w:jc w:val="center"/>
            </w:pPr>
            <w:r>
              <w:rPr>
                <w:b w:val="false"/>
                <w:bCs w:val="false"/>
                <w:color w:val="000000"/>
              </w:rPr>
              <w:t xml:space="preserve">The middle value when data is sorted; 50% of observations lie below it</w:t>
            </w:r>
          </w:p>
        </w:tc>
      </w:tr>
      <w:tr>
        <w:tc>
          <w:tcPr>
            <w:tcW w:type="dxa" w:w="2600"/>
            <w:shd w:fill="FFFFFF" w:val="clear"/>
            <w:tcMar>
              <w:top w:type="dxa" w:w="80"/>
              <w:left w:type="dxa" w:w="100"/>
              <w:bottom w:type="dxa" w:w="80"/>
              <w:right w:type="dxa" w:w="100"/>
            </w:tcMar>
          </w:tcPr>
          <w:p>
            <w:pPr>
              <w:jc w:val="left"/>
            </w:pPr>
            <w:r>
              <w:rPr>
                <w:b w:val="false"/>
                <w:bCs w:val="false"/>
                <w:color w:val="000000"/>
              </w:rPr>
              <w:t xml:space="preserve">Skewness</w:t>
            </w:r>
          </w:p>
        </w:tc>
        <w:tc>
          <w:tcPr>
            <w:tcW w:type="dxa" w:w="6600"/>
            <w:shd w:fill="FFFFFF" w:val="clear"/>
            <w:tcMar>
              <w:top w:type="dxa" w:w="80"/>
              <w:left w:type="dxa" w:w="100"/>
              <w:bottom w:type="dxa" w:w="80"/>
              <w:right w:type="dxa" w:w="100"/>
            </w:tcMar>
          </w:tcPr>
          <w:p>
            <w:pPr>
              <w:jc w:val="center"/>
            </w:pPr>
            <w:r>
              <w:rPr>
                <w:b w:val="false"/>
                <w:bCs w:val="false"/>
                <w:color w:val="000000"/>
              </w:rPr>
              <w:t xml:space="preserve">Measure of asymmetry of the distribution; ~0 = symmetric, &gt;0 = right-skewed (long tail of high values)</w:t>
            </w:r>
          </w:p>
        </w:tc>
      </w:tr>
      <w:tr>
        <w:tc>
          <w:tcPr>
            <w:tcW w:type="dxa" w:w="2600"/>
            <w:shd w:fill="F2F6FA" w:val="clear"/>
            <w:tcMar>
              <w:top w:type="dxa" w:w="80"/>
              <w:left w:type="dxa" w:w="100"/>
              <w:bottom w:type="dxa" w:w="80"/>
              <w:right w:type="dxa" w:w="100"/>
            </w:tcMar>
          </w:tcPr>
          <w:p>
            <w:pPr>
              <w:jc w:val="left"/>
            </w:pPr>
            <w:r>
              <w:rPr>
                <w:b w:val="false"/>
                <w:bCs w:val="false"/>
                <w:color w:val="000000"/>
              </w:rPr>
              <w:t xml:space="preserve">IQR (Interquartile Range)</w:t>
            </w:r>
          </w:p>
        </w:tc>
        <w:tc>
          <w:tcPr>
            <w:tcW w:type="dxa" w:w="6600"/>
            <w:shd w:fill="F2F6FA" w:val="clear"/>
            <w:tcMar>
              <w:top w:type="dxa" w:w="80"/>
              <w:left w:type="dxa" w:w="100"/>
              <w:bottom w:type="dxa" w:w="80"/>
              <w:right w:type="dxa" w:w="100"/>
            </w:tcMar>
          </w:tcPr>
          <w:p>
            <w:pPr>
              <w:jc w:val="center"/>
            </w:pPr>
            <w:r>
              <w:rPr>
                <w:b w:val="false"/>
                <w:bCs w:val="false"/>
                <w:color w:val="000000"/>
              </w:rPr>
              <w:t xml:space="preserve">Q3 (75th percentile) − Q1 (25th percentile); used to define the 'typical' spread of the data</w:t>
            </w:r>
          </w:p>
        </w:tc>
      </w:tr>
      <w:tr>
        <w:tc>
          <w:tcPr>
            <w:tcW w:type="dxa" w:w="2600"/>
            <w:shd w:fill="FFFFFF" w:val="clear"/>
            <w:tcMar>
              <w:top w:type="dxa" w:w="80"/>
              <w:left w:type="dxa" w:w="100"/>
              <w:bottom w:type="dxa" w:w="80"/>
              <w:right w:type="dxa" w:w="100"/>
            </w:tcMar>
          </w:tcPr>
          <w:p>
            <w:pPr>
              <w:jc w:val="left"/>
            </w:pPr>
            <w:r>
              <w:rPr>
                <w:b w:val="false"/>
                <w:bCs w:val="false"/>
                <w:color w:val="000000"/>
              </w:rPr>
              <w:t xml:space="preserve">Outlier (IQR rule)</w:t>
            </w:r>
          </w:p>
        </w:tc>
        <w:tc>
          <w:tcPr>
            <w:tcW w:type="dxa" w:w="6600"/>
            <w:shd w:fill="FFFFFF" w:val="clear"/>
            <w:tcMar>
              <w:top w:type="dxa" w:w="80"/>
              <w:left w:type="dxa" w:w="100"/>
              <w:bottom w:type="dxa" w:w="80"/>
              <w:right w:type="dxa" w:w="100"/>
            </w:tcMar>
          </w:tcPr>
          <w:p>
            <w:pPr>
              <w:jc w:val="center"/>
            </w:pPr>
            <w:r>
              <w:rPr>
                <w:b w:val="false"/>
                <w:bCs w:val="false"/>
                <w:color w:val="000000"/>
              </w:rPr>
              <w:t xml:space="preserve">Any value below Q1 − 1.5×IQR or above Q3 + 1.5×IQR</w:t>
            </w:r>
          </w:p>
        </w:tc>
      </w:tr>
      <w:tr>
        <w:tc>
          <w:tcPr>
            <w:tcW w:type="dxa" w:w="2600"/>
            <w:shd w:fill="F2F6FA" w:val="clear"/>
            <w:tcMar>
              <w:top w:type="dxa" w:w="80"/>
              <w:left w:type="dxa" w:w="100"/>
              <w:bottom w:type="dxa" w:w="80"/>
              <w:right w:type="dxa" w:w="100"/>
            </w:tcMar>
          </w:tcPr>
          <w:p>
            <w:pPr>
              <w:jc w:val="left"/>
            </w:pPr>
            <w:r>
              <w:rPr>
                <w:b w:val="false"/>
                <w:bCs w:val="false"/>
                <w:color w:val="000000"/>
              </w:rPr>
              <w:t xml:space="preserve">Pearson Correlation (r)</w:t>
            </w:r>
          </w:p>
        </w:tc>
        <w:tc>
          <w:tcPr>
            <w:tcW w:type="dxa" w:w="6600"/>
            <w:shd w:fill="F2F6FA" w:val="clear"/>
            <w:tcMar>
              <w:top w:type="dxa" w:w="80"/>
              <w:left w:type="dxa" w:w="100"/>
              <w:bottom w:type="dxa" w:w="80"/>
              <w:right w:type="dxa" w:w="100"/>
            </w:tcMar>
          </w:tcPr>
          <w:p>
            <w:pPr>
              <w:jc w:val="center"/>
            </w:pPr>
            <w:r>
              <w:rPr>
                <w:b w:val="false"/>
                <w:bCs w:val="false"/>
                <w:color w:val="000000"/>
              </w:rPr>
              <w:t xml:space="preserve">Covariance of two variables divided by the product of their standard deviations; ranges from −1 (perfect negative) to +1 (perfect positive)</w:t>
            </w:r>
          </w:p>
        </w:tc>
      </w:tr>
      <w:tr>
        <w:tc>
          <w:tcPr>
            <w:tcW w:type="dxa" w:w="2600"/>
            <w:shd w:fill="FFFFFF" w:val="clear"/>
            <w:tcMar>
              <w:top w:type="dxa" w:w="80"/>
              <w:left w:type="dxa" w:w="100"/>
              <w:bottom w:type="dxa" w:w="80"/>
              <w:right w:type="dxa" w:w="100"/>
            </w:tcMar>
          </w:tcPr>
          <w:p>
            <w:pPr>
              <w:jc w:val="left"/>
            </w:pPr>
            <w:r>
              <w:rPr>
                <w:b w:val="false"/>
                <w:bCs w:val="false"/>
                <w:color w:val="000000"/>
              </w:rPr>
              <w:t xml:space="preserve">Percentage Change</w:t>
            </w:r>
          </w:p>
        </w:tc>
        <w:tc>
          <w:tcPr>
            <w:tcW w:type="dxa" w:w="6600"/>
            <w:shd w:fill="FFFFFF" w:val="clear"/>
            <w:tcMar>
              <w:top w:type="dxa" w:w="80"/>
              <w:left w:type="dxa" w:w="100"/>
              <w:bottom w:type="dxa" w:w="80"/>
              <w:right w:type="dxa" w:w="100"/>
            </w:tcMar>
          </w:tcPr>
          <w:p>
            <w:pPr>
              <w:jc w:val="center"/>
            </w:pPr>
            <w:r>
              <w:rPr>
                <w:b w:val="false"/>
                <w:bCs w:val="false"/>
                <w:color w:val="000000"/>
              </w:rPr>
              <w:t xml:space="preserve">((End value − Start value) / Start value) × 100</w:t>
            </w:r>
          </w:p>
        </w:tc>
      </w:tr>
      <w:tr>
        <w:tc>
          <w:tcPr>
            <w:tcW w:type="dxa" w:w="2600"/>
            <w:shd w:fill="F2F6FA" w:val="clear"/>
            <w:tcMar>
              <w:top w:type="dxa" w:w="80"/>
              <w:left w:type="dxa" w:w="100"/>
              <w:bottom w:type="dxa" w:w="80"/>
              <w:right w:type="dxa" w:w="100"/>
            </w:tcMar>
          </w:tcPr>
          <w:p>
            <w:pPr>
              <w:jc w:val="left"/>
            </w:pPr>
            <w:r>
              <w:rPr>
                <w:b w:val="false"/>
                <w:bCs w:val="false"/>
                <w:color w:val="000000"/>
              </w:rPr>
              <w:t xml:space="preserve">Revenue Share</w:t>
            </w:r>
          </w:p>
        </w:tc>
        <w:tc>
          <w:tcPr>
            <w:tcW w:type="dxa" w:w="6600"/>
            <w:shd w:fill="F2F6FA" w:val="clear"/>
            <w:tcMar>
              <w:top w:type="dxa" w:w="80"/>
              <w:left w:type="dxa" w:w="100"/>
              <w:bottom w:type="dxa" w:w="80"/>
              <w:right w:type="dxa" w:w="100"/>
            </w:tcMar>
          </w:tcPr>
          <w:p>
            <w:pPr>
              <w:jc w:val="center"/>
            </w:pPr>
            <w:r>
              <w:rPr>
                <w:b w:val="false"/>
                <w:bCs w:val="false"/>
                <w:color w:val="000000"/>
              </w:rPr>
              <w:t xml:space="preserve">(Revenue of category / Total revenue) × 100</w:t>
            </w:r>
          </w:p>
        </w:tc>
      </w:tr>
    </w:tbl>
    <w:p>
      <w:pPr>
        <w:pStyle w:val="Heading1"/>
        <w:spacing w:after="200" w:before="400"/>
      </w:pPr>
      <w:r>
        <w:t xml:space="preserve">Appendix C: Reproducibility and Viva Preparedness</w:t>
      </w:r>
    </w:p>
    <w:p>
      <w:pPr>
        <w:spacing w:after="160"/>
      </w:pPr>
      <w:r>
        <w:t xml:space="preserve">This report is fully reproducible from the accompanying notebook, BDM_Capstone_Analysis_23F3001753.ipynb (link in Section 2), which contains the following sections in order: (1) library imports and data loading, (2) metadata inspection, (3) data cleaning and validation — including the missing-value, duplicate, range, and IQR outlier checks, and the TotalRevenue vs. Price×UnitsSold reconciliation check documented in Section 3.4, (4) descriptive statistics, (5) monthly trend analysis with charts, (6) payment-channel analysis with charts, (7) customer segmentation analysis with charts, (8) correlation analysis, and (9) a summary of key findings.</w:t>
      </w:r>
    </w:p>
    <w:p>
      <w:pPr>
        <w:spacing w:after="160"/>
      </w:pPr>
      <w:r>
        <w:t xml:space="preserve">Every chart and number quoted in this report (Sections 3–5) can be regenerated by re-running the notebook cells in Google Colab against the original mobile_sales.csv file, with no manual data manipulation required, satisfying the reproducibility expectation for the viva-voce examination.</w:t>
      </w:r>
    </w:p>
    <w:p>
      <w:pPr>
        <w:pStyle w:val="ListParagraph"/>
        <w:numPr>
          <w:ilvl w:val="0"/>
          <w:numId w:val="2"/>
        </w:numPr>
        <w:spacing w:after="80"/>
      </w:pPr>
      <w:r>
        <w:t xml:space="preserve">Notebook file: BDM_Capstone_Analysis_23F3001753.ipynb (submitted alongside this report; link in Section 2)</w:t>
      </w:r>
    </w:p>
    <w:p>
      <w:pPr>
        <w:pStyle w:val="ListParagraph"/>
        <w:numPr>
          <w:ilvl w:val="0"/>
          <w:numId w:val="2"/>
        </w:numPr>
        <w:spacing w:after="80"/>
      </w:pPr>
      <w:r>
        <w:t xml:space="preserve">Raw data file: mobile_sales.csv (Kaggle — Mobile Sales Dataset, as declared in Section 2)</w:t>
      </w:r>
    </w:p>
    <w:p>
      <w:pPr>
        <w:pStyle w:val="ListParagraph"/>
        <w:numPr>
          <w:ilvl w:val="0"/>
          <w:numId w:val="2"/>
        </w:numPr>
        <w:spacing w:after="80"/>
      </w:pPr>
      <w:r>
        <w:t xml:space="preserve">All outputs in the notebook are pre-executed and saved, so the examiner can review results without re-running the code, while also being able to re-run any cell live during the viva demonstration.</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BDM Capstone Project — 23F3001753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pPr>
    <w:rPr>
      <w:rFonts w:ascii="Calibri" w:cs="Calibri" w:eastAsia="Calibri" w:hAnsi="Calibri"/>
      <w:b/>
      <w:bCs/>
      <w:color w:val="1F4E79"/>
      <w:sz w:val="30"/>
      <w:szCs w:val="30"/>
    </w:rPr>
  </w:style>
  <w:style w:type="paragraph" w:styleId="Heading2">
    <w:name w:val="Heading 2"/>
    <w:basedOn w:val="Normal"/>
    <w:next w:val="Normal"/>
    <w:qFormat/>
    <w:pPr>
      <w:spacing w:after="140" w:before="260"/>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0b_0ino68rvzwp07rp4f" Type="http://schemas.openxmlformats.org/officeDocument/2006/relationships/hyperlink" Target="https://drive.google.com/file/d/1Cf0fDskCQV7w9PBsWvjBZLEZ2PKctZ9i/view?usp=sharing" TargetMode="External"/><Relationship Id="rIdf600hpb6ulxa798lp7ix9" Type="http://schemas.openxmlformats.org/officeDocument/2006/relationships/hyperlink" Target="https://colab.research.google.com/drive/1oWJ5ck7EUiSoz0uWFPoqHVT1zkcWRMRN?usp=sharing" TargetMode="External"/><Relationship Id="rId9" Type="http://schemas.openxmlformats.org/officeDocument/2006/relationships/image" Target="media/7678577a58c41d28ca5e0ba9b1c07716789e312a.png"/><Relationship Id="rId10" Type="http://schemas.openxmlformats.org/officeDocument/2006/relationships/image" Target="media/3a8b67e411d69863a9af35cb61978a12408ee9eb.png"/><Relationship Id="rId11" Type="http://schemas.openxmlformats.org/officeDocument/2006/relationships/image" Target="media/84d95ebdf4b10bc2e4bd26682d5c9b241db61433.png"/><Relationship Id="rId12" Type="http://schemas.openxmlformats.org/officeDocument/2006/relationships/image" Target="media/19d3302e34589eb9603bfdb3056d6e8d828e41fc.png"/><Relationship Id="rId13" Type="http://schemas.openxmlformats.org/officeDocument/2006/relationships/image" Target="media/dce885a19f1f42a9df30e6bd58ebc68c424c0a79.png"/><Relationship Id="rId14" Type="http://schemas.openxmlformats.org/officeDocument/2006/relationships/image" Target="media/1731e5ff988bd2812b171830e872f616677ba80b.png"/><Relationship Id="rId15" Type="http://schemas.openxmlformats.org/officeDocument/2006/relationships/image" Target="media/9b56ff84b6f3eef4e4538b32ce4bba7199fc778b.png"/><Relationship Id="rId16" Type="http://schemas.openxmlformats.org/officeDocument/2006/relationships/image" Target="media/4cae92a65addb7453f41951244d0f267cc47abd4.png"/><Relationship Id="rId17" Type="http://schemas.openxmlformats.org/officeDocument/2006/relationships/image" Target="media/066a3cd5930da6e32963a4279f4d1c3b7bad0380.png"/><Relationship Id="rId18" Type="http://schemas.openxmlformats.org/officeDocument/2006/relationships/image" Target="media/e3218c838fe3df178d55ca9d961a8df1a68f420d.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2026-08-03T07:10:34.473Z</dcterms:created>
  <dcterms:modified xsi:type="dcterms:W3CDTF">2026-08-03T07:10:34.473Z</dcterms:modified>
</cp:coreProperties>
</file>

<file path=docProps/custom.xml><?xml version="1.0" encoding="utf-8"?>
<Properties xmlns="http://schemas.openxmlformats.org/officeDocument/2006/custom-properties" xmlns:vt="http://schemas.openxmlformats.org/officeDocument/2006/docPropsVTypes"/>
</file>