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Partition of Bengal</w:t>
      </w:r>
    </w:p>
    <w:p>
      <w:pPr>
        <w:pStyle w:val="Heading2"/>
      </w:pPr>
      <w:r>
        <w:t>Background</w:t>
      </w:r>
    </w:p>
    <w:p>
      <w:r>
        <w:t>In 1905 the British administration divided the province of Bengal, citing administrative convenience. Indian opinion widely regarded the division as an attempt to weaken a growing nationalist movement.</w:t>
      </w:r>
    </w:p>
    <w:p>
      <w:pPr>
        <w:pStyle w:val="Heading2"/>
      </w:pPr>
      <w:r>
        <w:t>The Swadeshi Response</w:t>
      </w:r>
    </w:p>
    <w:p>
      <w:r>
        <w:t>The partition provoked the Swadeshi movement, which encouraged the boycott of British goods and the promotion of indigenous industry.</w:t>
      </w:r>
    </w:p>
    <w:p>
      <w:pPr>
        <w:pStyle w:val="ListBullet"/>
      </w:pPr>
      <w:r>
        <w:t>Boycott of imported cloth</w:t>
      </w:r>
    </w:p>
    <w:p>
      <w:pPr>
        <w:pStyle w:val="ListBullet"/>
      </w:pPr>
      <w:r>
        <w:t>Promotion of village industry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1905</w:t>
            </w:r>
          </w:p>
        </w:tc>
        <w:tc>
          <w:tcPr>
            <w:tcW w:type="dxa" w:w="4320"/>
          </w:tcPr>
          <w:p>
            <w:r>
              <w:t>Partition announced</w:t>
            </w:r>
          </w:p>
        </w:tc>
      </w:tr>
      <w:tr>
        <w:tc>
          <w:tcPr>
            <w:tcW w:type="dxa" w:w="4320"/>
          </w:tcPr>
          <w:p>
            <w:r>
              <w:t>1911</w:t>
            </w:r>
          </w:p>
        </w:tc>
        <w:tc>
          <w:tcPr>
            <w:tcW w:type="dxa" w:w="4320"/>
          </w:tcPr>
          <w:p>
            <w:r>
              <w:t>Partition annulled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