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Milestone 1 — Problem Definition &amp; Literature Review</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Decoupled, Agentic Multimodal Crop Advisory System for Uttar Pradesh</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Contents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hyperlink w:anchor="maovr9qv8v0z">
        <w:r w:rsidDel="00000000" w:rsidR="00000000" w:rsidRPr="00000000">
          <w:rPr>
            <w:rFonts w:ascii="Google Sans" w:cs="Google Sans" w:eastAsia="Google Sans" w:hAnsi="Google Sans"/>
            <w:color w:val="0b57d0"/>
            <w:u w:val="single"/>
            <w:rtl w:val="0"/>
          </w:rPr>
          <w:t xml:space="preserve">Problem Statement</w:t>
        </w:r>
      </w:hyperlink>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sov8xfetq49s">
        <w:r w:rsidDel="00000000" w:rsidR="00000000" w:rsidRPr="00000000">
          <w:rPr>
            <w:rFonts w:ascii="Google Sans" w:cs="Google Sans" w:eastAsia="Google Sans" w:hAnsi="Google Sans"/>
            <w:color w:val="0b57d0"/>
            <w:u w:val="single"/>
            <w:rtl w:val="0"/>
          </w:rPr>
          <w:t xml:space="preserve">Scope &amp; Boundaries</w:t>
        </w:r>
      </w:hyperlink>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l79161k7q0e4">
        <w:r w:rsidDel="00000000" w:rsidR="00000000" w:rsidRPr="00000000">
          <w:rPr>
            <w:rFonts w:ascii="Google Sans" w:cs="Google Sans" w:eastAsia="Google Sans" w:hAnsi="Google Sans"/>
            <w:color w:val="0b57d0"/>
            <w:u w:val="single"/>
            <w:rtl w:val="0"/>
          </w:rPr>
          <w:t xml:space="preserve">Stakeholders</w:t>
        </w:r>
      </w:hyperlink>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6zgu5htkqvyz">
        <w:r w:rsidDel="00000000" w:rsidR="00000000" w:rsidRPr="00000000">
          <w:rPr>
            <w:rFonts w:ascii="Google Sans" w:cs="Google Sans" w:eastAsia="Google Sans" w:hAnsi="Google Sans"/>
            <w:color w:val="0b57d0"/>
            <w:u w:val="single"/>
            <w:rtl w:val="0"/>
          </w:rPr>
          <w:t xml:space="preserve">Measurable Objectives</w:t>
        </w:r>
      </w:hyperlink>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21xplygviwgo">
        <w:r w:rsidDel="00000000" w:rsidR="00000000" w:rsidRPr="00000000">
          <w:rPr>
            <w:rFonts w:ascii="Google Sans" w:cs="Google Sans" w:eastAsia="Google Sans" w:hAnsi="Google Sans"/>
            <w:color w:val="0b57d0"/>
            <w:u w:val="single"/>
            <w:rtl w:val="0"/>
          </w:rPr>
          <w:t xml:space="preserve">Proposed Solution</w:t>
        </w:r>
      </w:hyperlink>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5pj5yd7t7f06">
        <w:r w:rsidDel="00000000" w:rsidR="00000000" w:rsidRPr="00000000">
          <w:rPr>
            <w:rFonts w:ascii="Google Sans" w:cs="Google Sans" w:eastAsia="Google Sans" w:hAnsi="Google Sans"/>
            <w:color w:val="0b57d0"/>
            <w:u w:val="single"/>
            <w:rtl w:val="0"/>
          </w:rPr>
          <w:t xml:space="preserve">System Architecture</w:t>
        </w:r>
      </w:hyperlink>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k82az0y9nv5t">
        <w:r w:rsidDel="00000000" w:rsidR="00000000" w:rsidRPr="00000000">
          <w:rPr>
            <w:rFonts w:ascii="Google Sans" w:cs="Google Sans" w:eastAsia="Google Sans" w:hAnsi="Google Sans"/>
            <w:color w:val="0b57d0"/>
            <w:u w:val="single"/>
            <w:rtl w:val="0"/>
          </w:rPr>
          <w:t xml:space="preserve">Disease Detector — Architecture &amp; Calibration</w:t>
        </w:r>
      </w:hyperlink>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tf3x917bnudl">
        <w:r w:rsidDel="00000000" w:rsidR="00000000" w:rsidRPr="00000000">
          <w:rPr>
            <w:rFonts w:ascii="Google Sans" w:cs="Google Sans" w:eastAsia="Google Sans" w:hAnsi="Google Sans"/>
            <w:color w:val="0b57d0"/>
            <w:u w:val="single"/>
            <w:rtl w:val="0"/>
          </w:rPr>
          <w:t xml:space="preserve">Literature Review &amp; Existing Solutions</w:t>
        </w:r>
      </w:hyperlink>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kxg2482n2b1w">
        <w:r w:rsidDel="00000000" w:rsidR="00000000" w:rsidRPr="00000000">
          <w:rPr>
            <w:rFonts w:ascii="Google Sans" w:cs="Google Sans" w:eastAsia="Google Sans" w:hAnsi="Google Sans"/>
            <w:color w:val="0b57d0"/>
            <w:u w:val="single"/>
            <w:rtl w:val="0"/>
          </w:rPr>
          <w:t xml:space="preserve">Comparative Analysis</w:t>
        </w:r>
      </w:hyperlink>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y35nw7wf1qgy">
        <w:r w:rsidDel="00000000" w:rsidR="00000000" w:rsidRPr="00000000">
          <w:rPr>
            <w:rFonts w:ascii="Google Sans" w:cs="Google Sans" w:eastAsia="Google Sans" w:hAnsi="Google Sans"/>
            <w:color w:val="0b57d0"/>
            <w:u w:val="single"/>
            <w:rtl w:val="0"/>
          </w:rPr>
          <w:t xml:space="preserve">Datasets &amp; Evaluation</w:t>
        </w:r>
      </w:hyperlink>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bmoh4zyjlb2v">
        <w:r w:rsidDel="00000000" w:rsidR="00000000" w:rsidRPr="00000000">
          <w:rPr>
            <w:rFonts w:ascii="Google Sans" w:cs="Google Sans" w:eastAsia="Google Sans" w:hAnsi="Google Sans"/>
            <w:color w:val="0b57d0"/>
            <w:u w:val="single"/>
            <w:rtl w:val="0"/>
          </w:rPr>
          <w:t xml:space="preserve">Risk Assessment &amp; Mitigation</w:t>
        </w:r>
      </w:hyperlink>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ejrrnohfo5gl">
        <w:r w:rsidDel="00000000" w:rsidR="00000000" w:rsidRPr="00000000">
          <w:rPr>
            <w:rFonts w:ascii="Google Sans" w:cs="Google Sans" w:eastAsia="Google Sans" w:hAnsi="Google Sans"/>
            <w:color w:val="0b57d0"/>
            <w:u w:val="single"/>
            <w:rtl w:val="0"/>
          </w:rPr>
          <w:t xml:space="preserve">Ethical Considerations</w:t>
        </w:r>
      </w:hyperlink>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j11lk8o9af3g">
        <w:r w:rsidDel="00000000" w:rsidR="00000000" w:rsidRPr="00000000">
          <w:rPr>
            <w:rFonts w:ascii="Google Sans" w:cs="Google Sans" w:eastAsia="Google Sans" w:hAnsi="Google Sans"/>
            <w:color w:val="0b57d0"/>
            <w:u w:val="single"/>
            <w:rtl w:val="0"/>
          </w:rPr>
          <w:t xml:space="preserve">System Limitations</w:t>
        </w:r>
      </w:hyperlink>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evy9m79osefk">
        <w:r w:rsidDel="00000000" w:rsidR="00000000" w:rsidRPr="00000000">
          <w:rPr>
            <w:rFonts w:ascii="Google Sans" w:cs="Google Sans" w:eastAsia="Google Sans" w:hAnsi="Google Sans"/>
            <w:color w:val="0b57d0"/>
            <w:u w:val="single"/>
            <w:rtl w:val="0"/>
          </w:rPr>
          <w:t xml:space="preserve">Computational Requirements</w:t>
        </w:r>
      </w:hyperlink>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3o60gbbfg2dq">
        <w:r w:rsidDel="00000000" w:rsidR="00000000" w:rsidRPr="00000000">
          <w:rPr>
            <w:rFonts w:ascii="Google Sans" w:cs="Google Sans" w:eastAsia="Google Sans" w:hAnsi="Google Sans"/>
            <w:color w:val="0b57d0"/>
            <w:u w:val="single"/>
            <w:rtl w:val="0"/>
          </w:rPr>
          <w:t xml:space="preserve">References</w:t>
        </w:r>
      </w:hyperlink>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hyperlink w:anchor="99dt9nm1zyu4">
        <w:r w:rsidDel="00000000" w:rsidR="00000000" w:rsidRPr="00000000">
          <w:rPr>
            <w:rFonts w:ascii="Google Sans" w:cs="Google Sans" w:eastAsia="Google Sans" w:hAnsi="Google Sans"/>
            <w:color w:val="0b57d0"/>
            <w:u w:val="single"/>
            <w:rtl w:val="0"/>
          </w:rPr>
          <w:t xml:space="preserve">Appendix: System Scenarios</w:t>
        </w:r>
      </w:hyperlink>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Problem Statement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Smallholder farmers in Uttar Pradesh (UP), India, rely on timely agronomic intelligence to protect yields of staple crops like rice and wheat. While institutional lifelines such as the Kisan Call Centre (KCC) exist, they are constrained by human bandwidth, text-only interfaces, and the inability to visually diagnose crop diseases.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Recent advancements in Large Language Models (LLMs) and Computer Vision present opportunities to automate this advisory process, but existing monolithic AI solutions fail in three critical, measurable areas:</w:t>
      </w:r>
    </w:p>
    <w:p w:rsidR="00000000" w:rsidDel="00000000" w:rsidP="00000000" w:rsidRDefault="00000000" w:rsidRPr="00000000" w14:paraId="00000017">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Vision Domain Gap:</w:t>
      </w:r>
      <w:r w:rsidDel="00000000" w:rsidR="00000000" w:rsidRPr="00000000">
        <w:rPr>
          <w:rFonts w:ascii="Google Sans" w:cs="Google Sans" w:eastAsia="Google Sans" w:hAnsi="Google Sans"/>
          <w:color w:val="1f1f1f"/>
          <w:rtl w:val="0"/>
        </w:rPr>
        <w:t xml:space="preserve"> Models trained on idealized laboratory datasets (e.g., PlantVillage) routinely achieve </w:t>
      </w:r>
      <w:r w:rsidDel="00000000" w:rsidR="00000000" w:rsidRPr="00000000">
        <w:rPr>
          <w:rFonts w:ascii="Google Sans" w:cs="Google Sans" w:eastAsia="Google Sans" w:hAnsi="Google Sans"/>
          <w:color w:val="1f1f1f"/>
        </w:rPr>
        <w:drawing>
          <wp:inline distB="19050" distT="19050" distL="19050" distR="19050">
            <wp:extent cx="566142" cy="239891"/>
            <wp:effectExtent b="0" l="0" r="0" t="0"/>
            <wp:docPr id="1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66142" cy="239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accuracy, but experience severe performance degradation (falling as low as </w:t>
      </w:r>
      <w:r w:rsidDel="00000000" w:rsidR="00000000" w:rsidRPr="00000000">
        <w:rPr>
          <w:rFonts w:ascii="Google Sans" w:cs="Google Sans" w:eastAsia="Google Sans" w:hAnsi="Google Sans"/>
          <w:color w:val="1f1f1f"/>
        </w:rPr>
        <w:drawing>
          <wp:inline distB="19050" distT="19050" distL="19050" distR="19050">
            <wp:extent cx="1001611" cy="238479"/>
            <wp:effectExtent b="0" l="0" r="0" t="0"/>
            <wp:docPr id="1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001611" cy="2384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when deployed on real-world field images characterized by complex backgrounds and poor lighting </w:t>
      </w:r>
      <w:r w:rsidDel="00000000" w:rsidR="00000000" w:rsidRPr="00000000">
        <w:rPr>
          <w:rFonts w:ascii="Google Sans" w:cs="Google Sans" w:eastAsia="Google Sans" w:hAnsi="Google Sans"/>
          <w:color w:val="1f1f1f"/>
        </w:rPr>
        <w:drawing>
          <wp:inline distB="19050" distT="19050" distL="19050" distR="19050">
            <wp:extent cx="392162" cy="239123"/>
            <wp:effectExtent b="0" l="0" r="0" t="0"/>
            <wp:docPr id="14"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392162" cy="2391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Generative Hallucination in Agronomy:</w:t>
      </w:r>
      <w:r w:rsidDel="00000000" w:rsidR="00000000" w:rsidRPr="00000000">
        <w:rPr>
          <w:rFonts w:ascii="Google Sans" w:cs="Google Sans" w:eastAsia="Google Sans" w:hAnsi="Google Sans"/>
          <w:color w:val="1f1f1f"/>
          <w:rtl w:val="0"/>
        </w:rPr>
        <w:t xml:space="preserve"> Standard LLMs lack localized domain grounding, often hallucinating chemical dosages or referencing outdated government schemes, posing a direct financial and chemical risk to farmers.</w:t>
      </w:r>
    </w:p>
    <w:p w:rsidR="00000000" w:rsidDel="00000000" w:rsidP="00000000" w:rsidRDefault="00000000" w:rsidRPr="00000000" w14:paraId="00000019">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Linguistic Incompatibility:</w:t>
      </w:r>
      <w:r w:rsidDel="00000000" w:rsidR="00000000" w:rsidRPr="00000000">
        <w:rPr>
          <w:rFonts w:ascii="Google Sans" w:cs="Google Sans" w:eastAsia="Google Sans" w:hAnsi="Google Sans"/>
          <w:color w:val="1f1f1f"/>
          <w:rtl w:val="0"/>
        </w:rPr>
        <w:t xml:space="preserve"> Standard embedding models fail to accurately map transliterated, code-mixed agricultural Hindi (e.g., </w:t>
      </w:r>
      <w:r w:rsidDel="00000000" w:rsidR="00000000" w:rsidRPr="00000000">
        <w:rPr>
          <w:rFonts w:ascii="Google Sans" w:cs="Google Sans" w:eastAsia="Google Sans" w:hAnsi="Google Sans"/>
          <w:i w:val="1"/>
          <w:iCs w:val="1"/>
          <w:color w:val="1f1f1f"/>
          <w:rtl w:val="0"/>
        </w:rPr>
        <w:t xml:space="preserve">“makka mein tana chhedak”</w:t>
      </w:r>
      <w:r w:rsidDel="00000000" w:rsidR="00000000" w:rsidRPr="00000000">
        <w:rPr>
          <w:rFonts w:ascii="Google Sans" w:cs="Google Sans" w:eastAsia="Google Sans" w:hAnsi="Google Sans"/>
          <w:color w:val="1f1f1f"/>
          <w:rtl w:val="0"/>
        </w:rPr>
        <w:t xml:space="preserve">), resulting in poor context retrieval for regional queries </w:t>
      </w:r>
      <w:r w:rsidDel="00000000" w:rsidR="00000000" w:rsidRPr="00000000">
        <w:rPr>
          <w:rFonts w:ascii="Google Sans" w:cs="Google Sans" w:eastAsia="Google Sans" w:hAnsi="Google Sans"/>
          <w:color w:val="1f1f1f"/>
        </w:rPr>
        <w:drawing>
          <wp:inline distB="19050" distT="19050" distL="19050" distR="19050">
            <wp:extent cx="207020" cy="235250"/>
            <wp:effectExtent b="0" l="0" r="0" t="0"/>
            <wp:docPr id="1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7020" cy="2352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project proposes a decoupled, agentic architecture that isolates vision classification from reasoning, utilizes Indian-specific embedding models (MuRIL) for accurate retrieval, and employs a quantized LLM acting as a reasoning agent to trigger external predictive tools and synthesize factually grounded advice.</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Scope &amp; Boundaries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rigorous evaluation and computational feasibility, the system's knowledge boundaries are strictly localized.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Must-Have (Core Requirements):</w:t>
      </w:r>
    </w:p>
    <w:p w:rsidR="00000000" w:rsidDel="00000000" w:rsidP="00000000" w:rsidRDefault="00000000" w:rsidRPr="00000000" w14:paraId="0000001E">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Geographic &amp; Crop Scope:</w:t>
      </w:r>
      <w:r w:rsidDel="00000000" w:rsidR="00000000" w:rsidRPr="00000000">
        <w:rPr>
          <w:rFonts w:ascii="Google Sans" w:cs="Google Sans" w:eastAsia="Google Sans" w:hAnsi="Google Sans"/>
          <w:color w:val="1f1f1f"/>
          <w:rtl w:val="0"/>
        </w:rPr>
        <w:t xml:space="preserve"> Uttar Pradesh state data; exclusively targeting Rice and Wheat.</w:t>
      </w:r>
    </w:p>
    <w:p w:rsidR="00000000" w:rsidDel="00000000" w:rsidP="00000000" w:rsidRDefault="00000000" w:rsidRPr="00000000" w14:paraId="0000001F">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Decoupled Multimodal Input:</w:t>
      </w:r>
      <w:r w:rsidDel="00000000" w:rsidR="00000000" w:rsidRPr="00000000">
        <w:rPr>
          <w:rFonts w:ascii="Google Sans" w:cs="Google Sans" w:eastAsia="Google Sans" w:hAnsi="Google Sans"/>
          <w:color w:val="1f1f1f"/>
          <w:rtl w:val="0"/>
        </w:rPr>
        <w:t xml:space="preserve"> Independent processing of text (Hindi/English) and images.</w:t>
      </w:r>
    </w:p>
    <w:p w:rsidR="00000000" w:rsidDel="00000000" w:rsidP="00000000" w:rsidRDefault="00000000" w:rsidRPr="00000000" w14:paraId="0000002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Agentic Routing &amp; Tool Calling:</w:t>
      </w:r>
      <w:r w:rsidDel="00000000" w:rsidR="00000000" w:rsidRPr="00000000">
        <w:rPr>
          <w:rFonts w:ascii="Google Sans" w:cs="Google Sans" w:eastAsia="Google Sans" w:hAnsi="Google Sans"/>
          <w:color w:val="1f1f1f"/>
          <w:rtl w:val="0"/>
        </w:rPr>
        <w:t xml:space="preserve"> An LLM agent capable of multi-turn context elicitation and executing external Python functions.</w:t>
      </w:r>
    </w:p>
    <w:p w:rsidR="00000000" w:rsidDel="00000000" w:rsidP="00000000" w:rsidRDefault="00000000" w:rsidRPr="00000000" w14:paraId="00000021">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Localized RAG:</w:t>
      </w:r>
      <w:r w:rsidDel="00000000" w:rsidR="00000000" w:rsidRPr="00000000">
        <w:rPr>
          <w:rFonts w:ascii="Google Sans" w:cs="Google Sans" w:eastAsia="Google Sans" w:hAnsi="Google Sans"/>
          <w:color w:val="1f1f1f"/>
          <w:rtl w:val="0"/>
        </w:rPr>
        <w:t xml:space="preserve"> A vector database embedded via MuRIL, indexing strictly filtered UP Government scheme documents and localized KCC agronomic Q&amp;A logs.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Should-Have (Secondary Requirements):</w:t>
      </w:r>
    </w:p>
    <w:p w:rsidR="00000000" w:rsidDel="00000000" w:rsidP="00000000" w:rsidRDefault="00000000" w:rsidRPr="00000000" w14:paraId="0000002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Yield Prediction Tool:</w:t>
      </w:r>
      <w:r w:rsidDel="00000000" w:rsidR="00000000" w:rsidRPr="00000000">
        <w:rPr>
          <w:rFonts w:ascii="Google Sans" w:cs="Google Sans" w:eastAsia="Google Sans" w:hAnsi="Google Sans"/>
          <w:color w:val="1f1f1f"/>
          <w:rtl w:val="0"/>
        </w:rPr>
        <w:t xml:space="preserve"> A classical machine learning model estimating district-level yield based on historical UP data, callable by the agent.</w:t>
      </w:r>
    </w:p>
    <w:p w:rsidR="00000000" w:rsidDel="00000000" w:rsidP="00000000" w:rsidRDefault="00000000" w:rsidRPr="00000000" w14:paraId="00000024">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Integration of live APIs:</w:t>
      </w:r>
      <w:r w:rsidDel="00000000" w:rsidR="00000000" w:rsidRPr="00000000">
        <w:rPr>
          <w:rFonts w:ascii="Google Sans" w:cs="Google Sans" w:eastAsia="Google Sans" w:hAnsi="Google Sans"/>
          <w:color w:val="1f1f1f"/>
          <w:rtl w:val="0"/>
        </w:rPr>
        <w:t xml:space="preserve"> Real-time Mandi (market) prices via Agmarknet.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Stretch Goals:</w:t>
      </w:r>
    </w:p>
    <w:p w:rsidR="00000000" w:rsidDel="00000000" w:rsidP="00000000" w:rsidRDefault="00000000" w:rsidRPr="00000000" w14:paraId="00000026">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Cross-Lingual Knowledge Transfer:</w:t>
      </w:r>
      <w:r w:rsidDel="00000000" w:rsidR="00000000" w:rsidRPr="00000000">
        <w:rPr>
          <w:rFonts w:ascii="Google Sans" w:cs="Google Sans" w:eastAsia="Google Sans" w:hAnsi="Google Sans"/>
          <w:color w:val="1f1f1f"/>
          <w:rtl w:val="0"/>
        </w:rPr>
        <w:t xml:space="preserve"> Expanding the vector indexing and metadata filtering to include one neighboring state (e.g., Bihar) to test architectural scalability.</w:t>
      </w:r>
    </w:p>
    <w:p w:rsidR="00000000" w:rsidDel="00000000" w:rsidP="00000000" w:rsidRDefault="00000000" w:rsidRPr="00000000" w14:paraId="00000027">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Native Voice Input:</w:t>
      </w:r>
      <w:r w:rsidDel="00000000" w:rsidR="00000000" w:rsidRPr="00000000">
        <w:rPr>
          <w:rFonts w:ascii="Google Sans" w:cs="Google Sans" w:eastAsia="Google Sans" w:hAnsi="Google Sans"/>
          <w:color w:val="1f1f1f"/>
          <w:rtl w:val="0"/>
        </w:rPr>
        <w:t xml:space="preserve"> Processing raw local dialect audio directly through the LLM’s multimodal capabilities (e.g., Gemma 4 12B audio ingestion).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 of Scope (with justifications):</w:t>
      </w:r>
    </w:p>
    <w:p w:rsidR="00000000" w:rsidDel="00000000" w:rsidP="00000000" w:rsidRDefault="00000000" w:rsidRPr="00000000" w14:paraId="00000029">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Unified Vision-Language Model (VLM) fine-tuning:</w:t>
      </w:r>
      <w:r w:rsidDel="00000000" w:rsidR="00000000" w:rsidRPr="00000000">
        <w:rPr>
          <w:rFonts w:ascii="Google Sans" w:cs="Google Sans" w:eastAsia="Google Sans" w:hAnsi="Google Sans"/>
          <w:color w:val="1f1f1f"/>
          <w:rtl w:val="0"/>
        </w:rPr>
        <w:t xml:space="preserve"> Fine-tuning massive multimodal models exceeds the 16GB VRAM limit of available consumer-grade hardware and the 5-6 week project timeline. A decoupled architecture is utilized instead to ensure feasibility.</w:t>
      </w:r>
    </w:p>
    <w:p w:rsidR="00000000" w:rsidDel="00000000" w:rsidP="00000000" w:rsidRDefault="00000000" w:rsidRPr="00000000" w14:paraId="0000002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Physical farm actuation (irrigation control):</w:t>
      </w:r>
      <w:r w:rsidDel="00000000" w:rsidR="00000000" w:rsidRPr="00000000">
        <w:rPr>
          <w:rFonts w:ascii="Google Sans" w:cs="Google Sans" w:eastAsia="Google Sans" w:hAnsi="Google Sans"/>
          <w:color w:val="1f1f1f"/>
          <w:rtl w:val="0"/>
        </w:rPr>
        <w:t xml:space="preserve"> The project focuses strictly on software-based agronomic intelligence. Hardware actuation introduces physical safety liabilities and requires IoT integration outside the software scope.</w:t>
      </w:r>
    </w:p>
    <w:p w:rsidR="00000000" w:rsidDel="00000000" w:rsidP="00000000" w:rsidRDefault="00000000" w:rsidRPr="00000000" w14:paraId="0000002B">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Live satellite imagery processing:</w:t>
      </w:r>
      <w:r w:rsidDel="00000000" w:rsidR="00000000" w:rsidRPr="00000000">
        <w:rPr>
          <w:rFonts w:ascii="Google Sans" w:cs="Google Sans" w:eastAsia="Google Sans" w:hAnsi="Google Sans"/>
          <w:color w:val="1f1f1f"/>
          <w:rtl w:val="0"/>
        </w:rPr>
        <w:t xml:space="preserve"> Ingesting and processing real-time geospatial data requires high-bandwidth pipelines that would dilute the core focus on conversational RAG and localized edge-case vision.</w:t>
      </w:r>
    </w:p>
    <w:p w:rsidR="00000000" w:rsidDel="00000000" w:rsidP="00000000" w:rsidRDefault="00000000" w:rsidRPr="00000000" w14:paraId="0000002C">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Pan-India dataset coverage:</w:t>
      </w:r>
      <w:r w:rsidDel="00000000" w:rsidR="00000000" w:rsidRPr="00000000">
        <w:rPr>
          <w:rFonts w:ascii="Google Sans" w:cs="Google Sans" w:eastAsia="Google Sans" w:hAnsi="Google Sans"/>
          <w:color w:val="1f1f1f"/>
          <w:rtl w:val="0"/>
        </w:rPr>
        <w:t xml:space="preserve"> To ensure high retrieval precision, eliminate cross-state policy hallucination, and manage data-cleaning overhead, the knowledge base is strictly bounded to Uttar Pradesh for the pilot phase.</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Measurable Objectives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Objective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Metric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O1: Field-Robust Vision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Narrow the lab-to-field performance gap for Rice/Wheat disease detection.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Achieve Macro F1-Score </w:t>
            </w:r>
            <w:r w:rsidDel="00000000" w:rsidR="00000000" w:rsidRPr="00000000">
              <w:rPr>
                <w:rFonts w:ascii="Google Sans" w:cs="Google Sans" w:eastAsia="Google Sans" w:hAnsi="Google Sans"/>
                <w:color w:val="1f1f1f"/>
                <w:shd w:fill="auto" w:val="clear"/>
              </w:rPr>
              <w:drawing>
                <wp:inline distB="19050" distT="19050" distL="19050" distR="19050">
                  <wp:extent cx="489942" cy="211348"/>
                  <wp:effectExtent b="0" l="0" r="0" t="0"/>
                  <wp:docPr id="1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89942" cy="21134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on in-the-wild datasets (e.g., PlantDoc) </w:t>
            </w:r>
            <w:r w:rsidDel="00000000" w:rsidR="00000000" w:rsidRPr="00000000">
              <w:rPr>
                <w:rFonts w:ascii="Google Sans" w:cs="Google Sans" w:eastAsia="Google Sans" w:hAnsi="Google Sans"/>
                <w:color w:val="1f1f1f"/>
                <w:shd w:fill="auto" w:val="clear"/>
              </w:rPr>
              <w:drawing>
                <wp:inline distB="19050" distT="19050" distL="19050" distR="19050">
                  <wp:extent cx="207020" cy="235250"/>
                  <wp:effectExtent b="0" l="0" r="0" t="0"/>
                  <wp:docPr id="1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07020" cy="23525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O2: Calibrated Abstention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Prevent confident misclassification of out-of-distribution or poor-quality images.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Maintain False Discovery Rate (FDR) </w:t>
            </w:r>
            <w:r w:rsidDel="00000000" w:rsidR="00000000" w:rsidRPr="00000000">
              <w:rPr>
                <w:rFonts w:ascii="Google Sans" w:cs="Google Sans" w:eastAsia="Google Sans" w:hAnsi="Google Sans"/>
                <w:color w:val="1f1f1f"/>
                <w:shd w:fill="auto" w:val="clear"/>
              </w:rPr>
              <w:drawing>
                <wp:inline distB="19050" distT="19050" distL="19050" distR="19050">
                  <wp:extent cx="499467" cy="211313"/>
                  <wp:effectExtent b="0" l="0" r="0" t="0"/>
                  <wp:docPr id="1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99467" cy="21131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via threshold abstention.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O3: Retrieval Efficacy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Accurately map code-mixed vernacular queries to appropriate documents.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Achieve Recall@5 </w:t>
            </w:r>
            <w:r w:rsidDel="00000000" w:rsidR="00000000" w:rsidRPr="00000000">
              <w:rPr>
                <w:rFonts w:ascii="Google Sans" w:cs="Google Sans" w:eastAsia="Google Sans" w:hAnsi="Google Sans"/>
                <w:color w:val="1f1f1f"/>
                <w:shd w:fill="auto" w:val="clear"/>
              </w:rPr>
              <w:drawing>
                <wp:inline distB="19050" distT="19050" distL="19050" distR="19050">
                  <wp:extent cx="555278" cy="239344"/>
                  <wp:effectExtent b="0" l="0" r="0" t="0"/>
                  <wp:docPr id="21"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55278" cy="23934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using MuRIL embeddings.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O4: Grounded Generation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Eliminate hallucination in treatment and policy advice.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Achieve RAGAS Faithfulness score </w:t>
            </w:r>
            <w:r w:rsidDel="00000000" w:rsidR="00000000" w:rsidRPr="00000000">
              <w:rPr>
                <w:rFonts w:ascii="Google Sans" w:cs="Google Sans" w:eastAsia="Google Sans" w:hAnsi="Google Sans"/>
                <w:color w:val="1f1f1f"/>
                <w:shd w:fill="auto" w:val="clear"/>
              </w:rPr>
              <w:drawing>
                <wp:inline distB="19050" distT="19050" distL="19050" distR="19050">
                  <wp:extent cx="489942" cy="211348"/>
                  <wp:effectExtent b="0" l="0" r="0" t="0"/>
                  <wp:docPr id="2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89942" cy="21134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182612" cy="211446"/>
                  <wp:effectExtent b="0" l="0" r="0" t="0"/>
                  <wp:docPr id="24"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182612" cy="21144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O5: Yield Estimation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Provide accurate localized yield predictions via tool calling (if implemented).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Achieve RMSE within </w:t>
            </w:r>
            <w:r w:rsidDel="00000000" w:rsidR="00000000" w:rsidRPr="00000000">
              <w:rPr>
                <w:rFonts w:ascii="Google Sans" w:cs="Google Sans" w:eastAsia="Google Sans" w:hAnsi="Google Sans"/>
                <w:color w:val="1f1f1f"/>
                <w:shd w:fill="auto" w:val="clear"/>
              </w:rPr>
              <w:drawing>
                <wp:inline distB="19050" distT="19050" distL="19050" distR="19050">
                  <wp:extent cx="317003" cy="211336"/>
                  <wp:effectExtent b="0" l="0" r="0" t="0"/>
                  <wp:docPr id="22"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317003" cy="21133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of actual historical UP district averages (R-squared </w:t>
            </w:r>
            <w:r w:rsidDel="00000000" w:rsidR="00000000" w:rsidRPr="00000000">
              <w:rPr>
                <w:rFonts w:ascii="Google Sans" w:cs="Google Sans" w:eastAsia="Google Sans" w:hAnsi="Google Sans"/>
                <w:color w:val="1f1f1f"/>
                <w:shd w:fill="auto" w:val="clear"/>
              </w:rPr>
              <w:drawing>
                <wp:inline distB="19050" distT="19050" distL="19050" distR="19050">
                  <wp:extent cx="489942" cy="211348"/>
                  <wp:effectExtent b="0" l="0" r="0" t="0"/>
                  <wp:docPr id="2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89942" cy="21134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Proposed Solution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departs from standard monolithic conversational AI by utilizing a </w:t>
      </w:r>
      <w:r w:rsidDel="00000000" w:rsidR="00000000" w:rsidRPr="00000000">
        <w:rPr>
          <w:rFonts w:ascii="Google Sans" w:cs="Google Sans" w:eastAsia="Google Sans" w:hAnsi="Google Sans"/>
          <w:b w:val="1"/>
          <w:bCs w:val="1"/>
          <w:color w:val="1f1f1f"/>
          <w:rtl w:val="0"/>
        </w:rPr>
        <w:t xml:space="preserve">Decoupled Agentic Workflow</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Semantic Router (FastAPI):</w:t>
      </w:r>
      <w:r w:rsidDel="00000000" w:rsidR="00000000" w:rsidRPr="00000000">
        <w:rPr>
          <w:rFonts w:ascii="Google Sans" w:cs="Google Sans" w:eastAsia="Google Sans" w:hAnsi="Google Sans"/>
          <w:color w:val="1f1f1f"/>
          <w:rtl w:val="0"/>
        </w:rPr>
        <w:t xml:space="preserve"> Orchestrates incoming payloads. Images are routed exclusively to a fine-tuned Convolutional Neural Network (CNN). The CNN outputs a text label (e.g., [Wheat Leaf Rust, Conf: 91%]), which is appended to the user's text query.</w:t>
      </w:r>
    </w:p>
    <w:p w:rsidR="00000000" w:rsidDel="00000000" w:rsidP="00000000" w:rsidRDefault="00000000" w:rsidRPr="00000000" w14:paraId="00000043">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Vector DB &amp; Embedder (MuRIL):</w:t>
      </w:r>
      <w:r w:rsidDel="00000000" w:rsidR="00000000" w:rsidRPr="00000000">
        <w:rPr>
          <w:rFonts w:ascii="Google Sans" w:cs="Google Sans" w:eastAsia="Google Sans" w:hAnsi="Google Sans"/>
          <w:color w:val="1f1f1f"/>
          <w:rtl w:val="0"/>
        </w:rPr>
        <w:t xml:space="preserve"> UP government PDFs and filtered KCC logs (excluding outdated financial data) are chunked and vectorized using MuRIL, which specializes in projecting transliterated Indian languages into a shared semantic space </w:t>
      </w:r>
      <w:r w:rsidDel="00000000" w:rsidR="00000000" w:rsidRPr="00000000">
        <w:rPr>
          <w:rFonts w:ascii="Google Sans" w:cs="Google Sans" w:eastAsia="Google Sans" w:hAnsi="Google Sans"/>
          <w:color w:val="1f1f1f"/>
        </w:rPr>
        <w:drawing>
          <wp:inline distB="19050" distT="19050" distL="19050" distR="19050">
            <wp:extent cx="207020" cy="235250"/>
            <wp:effectExtent b="0" l="0" r="0" t="0"/>
            <wp:docPr id="2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7020" cy="2352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Agentic LLM (Gemma-based):</w:t>
      </w:r>
      <w:r w:rsidDel="00000000" w:rsidR="00000000" w:rsidRPr="00000000">
        <w:rPr>
          <w:rFonts w:ascii="Google Sans" w:cs="Google Sans" w:eastAsia="Google Sans" w:hAnsi="Google Sans"/>
          <w:color w:val="1f1f1f"/>
          <w:rtl w:val="0"/>
        </w:rPr>
        <w:t xml:space="preserve"> A quantized, instruction-tuned LLM acts as the reasoning engine. Utilizing a ReAct (Reasoning and Acting) prompt structure, it evaluates the enriched text prompt, identifies missing variables (e.g., soil type), elicits context from the user, and triggers either RAG retrieval or the Yield ML tool (if available) before synthesizing a final answer.</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System Architecture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(Insert Architecture Diagram Here)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Data Flow Summary:</w:t>
      </w:r>
      <w:r w:rsidDel="00000000" w:rsidR="00000000" w:rsidRPr="00000000">
        <w:rPr>
          <w:rFonts w:ascii="Google Sans" w:cs="Google Sans" w:eastAsia="Google Sans" w:hAnsi="Google Sans"/>
          <w:color w:val="1f1f1f"/>
          <w:rtl w:val="0"/>
        </w:rPr>
        <w:t xml:space="preserve"> The User interface sends a text/image payload to the Backend Router. The image is processed by the Vision Service, returning a text label. The unified text payload enters the Agentic LLM. The LLM applies reasoning to determine if it must query the MuRIL-backed Vector DB or execute the Yield Prediction Tool (Should-Have). It gathers all context and generates a multilingual response for the user.</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Disease Detector — Architecture &amp; Calibration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address the lab-to-field domain gap without exceeding local compute constraints, we utilize a dedicated, lightweight vision architecture rather than a heavy VLM.</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Candidate Backbones:</w:t>
      </w:r>
    </w:p>
    <w:p w:rsidR="00000000" w:rsidDel="00000000" w:rsidP="00000000" w:rsidRDefault="00000000" w:rsidRPr="00000000" w14:paraId="0000004B">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EfficientNet-B0:</w:t>
      </w:r>
      <w:r w:rsidDel="00000000" w:rsidR="00000000" w:rsidRPr="00000000">
        <w:rPr>
          <w:rFonts w:ascii="Google Sans" w:cs="Google Sans" w:eastAsia="Google Sans" w:hAnsi="Google Sans"/>
          <w:color w:val="1f1f1f"/>
          <w:rtl w:val="0"/>
        </w:rPr>
        <w:t xml:space="preserve"> Shortlisted for its highly optimized parameter-to-accuracy ratio, ideal for constrained environments.</w:t>
      </w:r>
    </w:p>
    <w:p w:rsidR="00000000" w:rsidDel="00000000" w:rsidP="00000000" w:rsidRDefault="00000000" w:rsidRPr="00000000" w14:paraId="0000004C">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YOLOv8 (Classification Mode):</w:t>
      </w:r>
      <w:r w:rsidDel="00000000" w:rsidR="00000000" w:rsidRPr="00000000">
        <w:rPr>
          <w:rFonts w:ascii="Google Sans" w:cs="Google Sans" w:eastAsia="Google Sans" w:hAnsi="Google Sans"/>
          <w:color w:val="1f1f1f"/>
          <w:rtl w:val="0"/>
        </w:rPr>
        <w:t xml:space="preserve"> Shortlisted for its rapid inference latency and robust feature extraction in noisy image environments.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Confidence Calibration &amp; Abstention (</w:t>
      </w:r>
      <w:r w:rsidDel="00000000" w:rsidR="00000000" w:rsidRPr="00000000">
        <w:rPr>
          <w:rFonts w:ascii="Google Sans" w:cs="Google Sans" w:eastAsia="Google Sans" w:hAnsi="Google Sans"/>
          <w:b w:val="1"/>
          <w:bCs w:val="1"/>
          <w:color w:val="1f1f1f"/>
        </w:rPr>
        <w:drawing>
          <wp:inline distB="19050" distT="19050" distL="19050" distR="19050">
            <wp:extent cx="107900" cy="255037"/>
            <wp:effectExtent b="0" l="0" r="0" t="0"/>
            <wp:docPr id="26"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107900" cy="25503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CNNs are often overconfident in their predictions. To enable graceful abstention (refusing to diagnose blurry or out-of-distribution photos), we will apply </w:t>
      </w:r>
      <w:r w:rsidDel="00000000" w:rsidR="00000000" w:rsidRPr="00000000">
        <w:rPr>
          <w:rFonts w:ascii="Google Sans" w:cs="Google Sans" w:eastAsia="Google Sans" w:hAnsi="Google Sans"/>
          <w:b w:val="1"/>
          <w:bCs w:val="1"/>
          <w:color w:val="1f1f1f"/>
          <w:rtl w:val="0"/>
        </w:rPr>
        <w:t xml:space="preserve">Temperature Scaling</w:t>
      </w:r>
      <w:r w:rsidDel="00000000" w:rsidR="00000000" w:rsidRPr="00000000">
        <w:rPr>
          <w:rFonts w:ascii="Google Sans" w:cs="Google Sans" w:eastAsia="Google Sans" w:hAnsi="Google Sans"/>
          <w:color w:val="1f1f1f"/>
          <w:rtl w:val="0"/>
        </w:rPr>
        <w:t xml:space="preserve"> to the output logits to align probabilities with true accuracy.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abstention threshold (</w:t>
      </w:r>
      <w:r w:rsidDel="00000000" w:rsidR="00000000" w:rsidRPr="00000000">
        <w:rPr>
          <w:rFonts w:ascii="Google Sans" w:cs="Google Sans" w:eastAsia="Google Sans" w:hAnsi="Google Sans"/>
          <w:color w:val="1f1f1f"/>
        </w:rPr>
        <w:drawing>
          <wp:inline distB="19050" distT="19050" distL="19050" distR="19050">
            <wp:extent cx="107900" cy="255037"/>
            <wp:effectExtent b="0" l="0" r="0" t="0"/>
            <wp:docPr id="27"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107900" cy="2550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will be calibrated using a holdout validation set. The optimal </w:t>
      </w:r>
      <w:r w:rsidDel="00000000" w:rsidR="00000000" w:rsidRPr="00000000">
        <w:rPr>
          <w:rFonts w:ascii="Google Sans" w:cs="Google Sans" w:eastAsia="Google Sans" w:hAnsi="Google Sans"/>
          <w:color w:val="1f1f1f"/>
        </w:rPr>
        <w:drawing>
          <wp:inline distB="19050" distT="19050" distL="19050" distR="19050">
            <wp:extent cx="107900" cy="255037"/>
            <wp:effectExtent b="0" l="0" r="0" t="0"/>
            <wp:docPr id="28"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107900" cy="2550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will be selected dynamically to maximize the F1-score while strictly constraining the False Positive Rate to </w:t>
      </w:r>
      <w:r w:rsidDel="00000000" w:rsidR="00000000" w:rsidRPr="00000000">
        <w:rPr>
          <w:rFonts w:ascii="Google Sans" w:cs="Google Sans" w:eastAsia="Google Sans" w:hAnsi="Google Sans"/>
          <w:color w:val="1f1f1f"/>
        </w:rPr>
        <w:drawing>
          <wp:inline distB="19050" distT="19050" distL="19050" distR="19050">
            <wp:extent cx="566142" cy="239891"/>
            <wp:effectExtent b="0" l="0" r="0" t="0"/>
            <wp:docPr id="29"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66142" cy="239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the maximum softmax probability </w:t>
      </w:r>
      <w:r w:rsidDel="00000000" w:rsidR="00000000" w:rsidRPr="00000000">
        <w:rPr>
          <w:rFonts w:ascii="Google Sans" w:cs="Google Sans" w:eastAsia="Google Sans" w:hAnsi="Google Sans"/>
          <w:color w:val="1f1f1f"/>
        </w:rPr>
        <w:drawing>
          <wp:inline distB="19050" distT="19050" distL="19050" distR="19050">
            <wp:extent cx="775990" cy="249083"/>
            <wp:effectExtent b="0" l="0" r="0" t="0"/>
            <wp:docPr id="30"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775990" cy="2490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system outputs an "uncertain" label, prompting the LLM agent to ask the farmer for a clearer photo.</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Literature Review &amp; Existing Solutions</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AI-Powered Advisory &amp; Agentic Systems</w:t>
      </w:r>
    </w:p>
    <w:p w:rsidR="00000000" w:rsidDel="00000000" w:rsidP="00000000" w:rsidRDefault="00000000" w:rsidRPr="00000000" w14:paraId="00000052">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KisanQRS (Rehman et al., 2023) </w:t>
      </w:r>
      <w:r w:rsidDel="00000000" w:rsidR="00000000" w:rsidRPr="00000000">
        <w:rPr>
          <w:rFonts w:ascii="Google Sans" w:cs="Google Sans" w:eastAsia="Google Sans" w:hAnsi="Google Sans"/>
          <w:b w:val="1"/>
          <w:bCs w:val="1"/>
          <w:color w:val="1f1f1f"/>
        </w:rPr>
        <w:drawing>
          <wp:inline distB="19050" distT="19050" distL="19050" distR="19050">
            <wp:extent cx="207020" cy="235250"/>
            <wp:effectExtent b="0" l="0" r="0" t="0"/>
            <wp:docPr id="31"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207020" cy="23525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Utilizes 34 million KCC call logs with LSTM for query mapping.</w:t>
      </w:r>
    </w:p>
    <w:p w:rsidR="00000000" w:rsidDel="00000000" w:rsidP="00000000" w:rsidRDefault="00000000" w:rsidRPr="00000000" w14:paraId="00000053">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Limitation:</w:t>
      </w:r>
      <w:r w:rsidDel="00000000" w:rsidR="00000000" w:rsidRPr="00000000">
        <w:rPr>
          <w:rFonts w:ascii="Google Sans" w:cs="Google Sans" w:eastAsia="Google Sans" w:hAnsi="Google Sans"/>
          <w:color w:val="1f1f1f"/>
          <w:rtl w:val="0"/>
        </w:rPr>
        <w:t xml:space="preserve"> Operates purely on clustering historical answers; lacks multimodal input and reasoning capabilities.</w:t>
      </w:r>
    </w:p>
    <w:p w:rsidR="00000000" w:rsidDel="00000000" w:rsidP="00000000" w:rsidRDefault="00000000" w:rsidRPr="00000000" w14:paraId="00000054">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Our Improvement:</w:t>
      </w:r>
      <w:r w:rsidDel="00000000" w:rsidR="00000000" w:rsidRPr="00000000">
        <w:rPr>
          <w:rFonts w:ascii="Google Sans" w:cs="Google Sans" w:eastAsia="Google Sans" w:hAnsi="Google Sans"/>
          <w:color w:val="1f1f1f"/>
          <w:rtl w:val="0"/>
        </w:rPr>
        <w:t xml:space="preserve"> We utilize KCC logs strictly as a RAG context source, paired with an LLM for dynamic, context-aware generation and multi-turn reasoning.</w:t>
      </w:r>
    </w:p>
    <w:p w:rsidR="00000000" w:rsidDel="00000000" w:rsidP="00000000" w:rsidRDefault="00000000" w:rsidRPr="00000000" w14:paraId="00000055">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Agentic Frameworks (Yao et al., 2022) </w:t>
      </w:r>
      <w:r w:rsidDel="00000000" w:rsidR="00000000" w:rsidRPr="00000000">
        <w:rPr>
          <w:rFonts w:ascii="Google Sans" w:cs="Google Sans" w:eastAsia="Google Sans" w:hAnsi="Google Sans"/>
          <w:b w:val="1"/>
          <w:bCs w:val="1"/>
          <w:color w:val="1f1f1f"/>
        </w:rPr>
        <w:drawing>
          <wp:inline distB="19050" distT="19050" distL="19050" distR="19050">
            <wp:extent cx="207020" cy="235250"/>
            <wp:effectExtent b="0" l="0" r="0" t="0"/>
            <wp:docPr id="32"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207020" cy="23525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ReAct paradigm demonstrates that interleaving reasoning traces with task-specific actions (tool calling) significantly reduces hallucinations in LLMs.</w:t>
      </w:r>
    </w:p>
    <w:p w:rsidR="00000000" w:rsidDel="00000000" w:rsidP="00000000" w:rsidRDefault="00000000" w:rsidRPr="00000000" w14:paraId="00000056">
      <w:pPr>
        <w:numPr>
          <w:ilvl w:val="1"/>
          <w:numId w:val="21"/>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Application:</w:t>
      </w:r>
      <w:r w:rsidDel="00000000" w:rsidR="00000000" w:rsidRPr="00000000">
        <w:rPr>
          <w:rFonts w:ascii="Google Sans" w:cs="Google Sans" w:eastAsia="Google Sans" w:hAnsi="Google Sans"/>
          <w:color w:val="1f1f1f"/>
          <w:rtl w:val="0"/>
        </w:rPr>
        <w:t xml:space="preserve"> We apply this paradigm to agronomy, forcing the LLM to retrieve UP-specific policies or calculate yield before answering.</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The Vision Domain Gap</w:t>
      </w:r>
    </w:p>
    <w:p w:rsidR="00000000" w:rsidDel="00000000" w:rsidP="00000000" w:rsidRDefault="00000000" w:rsidRPr="00000000" w14:paraId="00000058">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PlantDoc (Singh et al., 2020) </w:t>
      </w:r>
      <w:r w:rsidDel="00000000" w:rsidR="00000000" w:rsidRPr="00000000">
        <w:rPr>
          <w:rFonts w:ascii="Google Sans" w:cs="Google Sans" w:eastAsia="Google Sans" w:hAnsi="Google Sans"/>
          <w:b w:val="1"/>
          <w:bCs w:val="1"/>
          <w:color w:val="1f1f1f"/>
        </w:rPr>
        <w:drawing>
          <wp:inline distB="19050" distT="19050" distL="19050" distR="19050">
            <wp:extent cx="207020" cy="23525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07020" cy="23525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Highlighted that models achieving </w:t>
      </w:r>
      <w:r w:rsidDel="00000000" w:rsidR="00000000" w:rsidRPr="00000000">
        <w:rPr>
          <w:rFonts w:ascii="Google Sans" w:cs="Google Sans" w:eastAsia="Google Sans" w:hAnsi="Google Sans"/>
          <w:color w:val="1f1f1f"/>
        </w:rPr>
        <w:drawing>
          <wp:inline distB="19050" distT="19050" distL="19050" distR="19050">
            <wp:extent cx="359272" cy="236363"/>
            <wp:effectExtent b="0" l="0" r="0" t="0"/>
            <wp:docPr id="4"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59272" cy="236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lab datasets (PlantVillage) drop to </w:t>
      </w:r>
      <w:r w:rsidDel="00000000" w:rsidR="00000000" w:rsidRPr="00000000">
        <w:rPr>
          <w:rFonts w:ascii="Google Sans" w:cs="Google Sans" w:eastAsia="Google Sans" w:hAnsi="Google Sans"/>
          <w:color w:val="1f1f1f"/>
        </w:rPr>
        <w:drawing>
          <wp:inline distB="19050" distT="19050" distL="19050" distR="19050">
            <wp:extent cx="566142" cy="239891"/>
            <wp:effectExtent b="0" l="0" r="0" t="0"/>
            <wp:docPr id="5"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66142" cy="239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real-world images due to background noise and varying light.</w:t>
      </w:r>
    </w:p>
    <w:p w:rsidR="00000000" w:rsidDel="00000000" w:rsidP="00000000" w:rsidRDefault="00000000" w:rsidRPr="00000000" w14:paraId="00000059">
      <w:pPr>
        <w:numPr>
          <w:ilvl w:val="1"/>
          <w:numId w:val="23"/>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Our Mitigation:</w:t>
      </w:r>
      <w:r w:rsidDel="00000000" w:rsidR="00000000" w:rsidRPr="00000000">
        <w:rPr>
          <w:rFonts w:ascii="Google Sans" w:cs="Google Sans" w:eastAsia="Google Sans" w:hAnsi="Google Sans"/>
          <w:color w:val="1f1f1f"/>
          <w:rtl w:val="0"/>
        </w:rPr>
        <w:t xml:space="preserve"> We incorporate explicit field-realistic data augmentations (background injection, blur) during fine-tuning and benchmark strictly against in-the-wild validation sets.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Indian Language NLP</w:t>
      </w:r>
    </w:p>
    <w:p w:rsidR="00000000" w:rsidDel="00000000" w:rsidP="00000000" w:rsidRDefault="00000000" w:rsidRPr="00000000" w14:paraId="0000005B">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MuRIL (Khanuja et al., 2021) </w:t>
      </w:r>
      <w:r w:rsidDel="00000000" w:rsidR="00000000" w:rsidRPr="00000000">
        <w:rPr>
          <w:rFonts w:ascii="Google Sans" w:cs="Google Sans" w:eastAsia="Google Sans" w:hAnsi="Google Sans"/>
          <w:b w:val="1"/>
          <w:bCs w:val="1"/>
          <w:color w:val="1f1f1f"/>
        </w:rPr>
        <w:drawing>
          <wp:inline distB="19050" distT="19050" distL="19050" distR="19050">
            <wp:extent cx="207020" cy="23525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7020" cy="23525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Demonstrates superior performance on transliterated and code-mixed Indian text compared to standard multilingual BERT.</w:t>
      </w:r>
    </w:p>
    <w:p w:rsidR="00000000" w:rsidDel="00000000" w:rsidP="00000000" w:rsidRDefault="00000000" w:rsidRPr="00000000" w14:paraId="0000005C">
      <w:pPr>
        <w:numPr>
          <w:ilvl w:val="1"/>
          <w:numId w:val="25"/>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Application:</w:t>
      </w:r>
      <w:r w:rsidDel="00000000" w:rsidR="00000000" w:rsidRPr="00000000">
        <w:rPr>
          <w:rFonts w:ascii="Google Sans" w:cs="Google Sans" w:eastAsia="Google Sans" w:hAnsi="Google Sans"/>
          <w:color w:val="1f1f1f"/>
          <w:rtl w:val="0"/>
        </w:rPr>
        <w:t xml:space="preserve"> Replaces standard sentence-transformers in our architecture to ensure accurate retrieval of Hindi agronomic jargon.</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 RAG Knowledge Base Management</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i w:val="1"/>
          <w:iCs w:val="1"/>
          <w:color w:val="1f1f1f"/>
          <w:rtl w:val="0"/>
        </w:rPr>
        <w:t xml:space="preserve">Handling Conflict and Outdated Data:</w:t>
      </w:r>
      <w:r w:rsidDel="00000000" w:rsidR="00000000" w:rsidRPr="00000000">
        <w:rPr>
          <w:rFonts w:ascii="Google Sans" w:cs="Google Sans" w:eastAsia="Google Sans" w:hAnsi="Google Sans"/>
          <w:color w:val="1f1f1f"/>
          <w:rtl w:val="0"/>
        </w:rPr>
        <w:t xml:space="preserve"> Agricultural advisories are highly temporal. Our Vector DB will utilize </w:t>
      </w:r>
      <w:r w:rsidDel="00000000" w:rsidR="00000000" w:rsidRPr="00000000">
        <w:rPr>
          <w:rFonts w:ascii="Google Sans" w:cs="Google Sans" w:eastAsia="Google Sans" w:hAnsi="Google Sans"/>
          <w:b w:val="1"/>
          <w:bCs w:val="1"/>
          <w:color w:val="1f1f1f"/>
          <w:rtl w:val="0"/>
        </w:rPr>
        <w:t xml:space="preserve">metadata filtering</w:t>
      </w:r>
      <w:r w:rsidDel="00000000" w:rsidR="00000000" w:rsidRPr="00000000">
        <w:rPr>
          <w:rFonts w:ascii="Google Sans" w:cs="Google Sans" w:eastAsia="Google Sans" w:hAnsi="Google Sans"/>
          <w:color w:val="1f1f1f"/>
          <w:rtl w:val="0"/>
        </w:rPr>
        <w:t xml:space="preserve">. Chunks will be tagged by State, Crop, and Year. The semantic router will strictly filter out KCC logs older than 3 years for financial queries, defaulting instead to recently timestamped UP Government scheme PDFs.</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Comparative Analysis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KisanQRS [5]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Generic GenAI Agri-Bots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Our Proposed System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KCC Data Integration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Yes (Filtered RAG)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Independent Field-Robust Vision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 (Often relies on monolithic VLMs)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Yes (Decoupled CNN)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Indian-Language Optimized Retrieval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 (Standard mBERT/Ada)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Yes (MuRIL)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Agentic Tool Calling (Yield ML)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Yes (Should-Have)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Calibrated CV Abstention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Yes</w:t>
            </w:r>
          </w:p>
        </w:tc>
      </w:tr>
    </w:tbl>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Datasets &amp; Evaluation</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Proposed Datasets</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Vision Training:</w:t>
      </w:r>
      <w:r w:rsidDel="00000000" w:rsidR="00000000" w:rsidRPr="00000000">
        <w:rPr>
          <w:rFonts w:ascii="Google Sans" w:cs="Google Sans" w:eastAsia="Google Sans" w:hAnsi="Google Sans"/>
          <w:color w:val="1f1f1f"/>
          <w:rtl w:val="0"/>
        </w:rPr>
        <w:t xml:space="preserve"> PlantVillage </w:t>
      </w:r>
      <w:r w:rsidDel="00000000" w:rsidR="00000000" w:rsidRPr="00000000">
        <w:rPr>
          <w:rFonts w:ascii="Google Sans" w:cs="Google Sans" w:eastAsia="Google Sans" w:hAnsi="Google Sans"/>
          <w:color w:val="1f1f1f"/>
        </w:rPr>
        <w:drawing>
          <wp:inline distB="19050" distT="19050" distL="19050" distR="19050">
            <wp:extent cx="207020" cy="235250"/>
            <wp:effectExtent b="0" l="0" r="0" t="0"/>
            <wp:docPr id="7"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207020" cy="2352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(Lab baseline) augmented with targeted field-noise.</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Vision Evaluation:</w:t>
      </w:r>
      <w:r w:rsidDel="00000000" w:rsidR="00000000" w:rsidRPr="00000000">
        <w:rPr>
          <w:rFonts w:ascii="Google Sans" w:cs="Google Sans" w:eastAsia="Google Sans" w:hAnsi="Google Sans"/>
          <w:color w:val="1f1f1f"/>
          <w:rtl w:val="0"/>
        </w:rPr>
        <w:t xml:space="preserve"> PlantDoc </w:t>
      </w:r>
      <w:r w:rsidDel="00000000" w:rsidR="00000000" w:rsidRPr="00000000">
        <w:rPr>
          <w:rFonts w:ascii="Google Sans" w:cs="Google Sans" w:eastAsia="Google Sans" w:hAnsi="Google Sans"/>
          <w:color w:val="1f1f1f"/>
        </w:rPr>
        <w:drawing>
          <wp:inline distB="19050" distT="19050" distL="19050" distR="19050">
            <wp:extent cx="207020" cy="235250"/>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07020" cy="2352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Cassava Leaf Disease datasets (In-the-wild baseline).</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NLP/RAG Corpus:</w:t>
      </w:r>
      <w:r w:rsidDel="00000000" w:rsidR="00000000" w:rsidRPr="00000000">
        <w:rPr>
          <w:rFonts w:ascii="Google Sans" w:cs="Google Sans" w:eastAsia="Google Sans" w:hAnsi="Google Sans"/>
          <w:color w:val="1f1f1f"/>
          <w:rtl w:val="0"/>
        </w:rPr>
        <w:t xml:space="preserve"> Uttar Pradesh filtered subset of the Government of India KCC dataset (strictly agronomic queries) + 50-100 regional UP policy PDFs.</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Yield Prediction:</w:t>
      </w:r>
      <w:r w:rsidDel="00000000" w:rsidR="00000000" w:rsidRPr="00000000">
        <w:rPr>
          <w:rFonts w:ascii="Google Sans" w:cs="Google Sans" w:eastAsia="Google Sans" w:hAnsi="Google Sans"/>
          <w:color w:val="1f1f1f"/>
          <w:rtl w:val="0"/>
        </w:rPr>
        <w:t xml:space="preserve"> Historical district-level crop data (yield, rainfall, fertilizer usage) sourced from data.gov.in for Uttar Pradesh.</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RAG Tiered Relevance Thresholds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faithfulness, the system will evaluate the cosine similarity of MuRIL embeddings during retrieval:</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Tier 1 (Grounded):</w:t>
      </w:r>
      <w:r w:rsidDel="00000000" w:rsidR="00000000" w:rsidRPr="00000000">
        <w:rPr>
          <w:rFonts w:ascii="Google Sans" w:cs="Google Sans" w:eastAsia="Google Sans" w:hAnsi="Google Sans"/>
          <w:color w:val="1f1f1f"/>
          <w:rtl w:val="0"/>
        </w:rPr>
        <w:t xml:space="preserve"> Relevance score </w:t>
      </w:r>
      <w:r w:rsidDel="00000000" w:rsidR="00000000" w:rsidRPr="00000000">
        <w:rPr>
          <w:rFonts w:ascii="Google Sans" w:cs="Google Sans" w:eastAsia="Google Sans" w:hAnsi="Google Sans"/>
          <w:color w:val="1f1f1f"/>
        </w:rPr>
        <w:drawing>
          <wp:inline distB="19050" distT="19050" distL="19050" distR="19050">
            <wp:extent cx="555278" cy="239344"/>
            <wp:effectExtent b="0" l="0" r="0" t="0"/>
            <wp:docPr id="9"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55278" cy="2393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LLM generates a confident response strictly citing the document.</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Tier 2 (Transparent Fallback):</w:t>
      </w:r>
      <w:r w:rsidDel="00000000" w:rsidR="00000000" w:rsidRPr="00000000">
        <w:rPr>
          <w:rFonts w:ascii="Google Sans" w:cs="Google Sans" w:eastAsia="Google Sans" w:hAnsi="Google Sans"/>
          <w:color w:val="1f1f1f"/>
          <w:rtl w:val="0"/>
        </w:rPr>
        <w:t xml:space="preserve"> Relevance score </w:t>
      </w:r>
      <w:r w:rsidDel="00000000" w:rsidR="00000000" w:rsidRPr="00000000">
        <w:rPr>
          <w:rFonts w:ascii="Google Sans" w:cs="Google Sans" w:eastAsia="Google Sans" w:hAnsi="Google Sans"/>
          <w:color w:val="1f1f1f"/>
        </w:rPr>
        <w:drawing>
          <wp:inline distB="19050" distT="19050" distL="19050" distR="19050">
            <wp:extent cx="936278" cy="238846"/>
            <wp:effectExtent b="0" l="0" r="0" t="0"/>
            <wp:docPr id="10"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936278" cy="238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LLM generates advice based on broad agronomic knowledge but prepends a mandatory disclaimer advising local verification.</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Tier 3 (Abstention/Redirect):</w:t>
      </w:r>
      <w:r w:rsidDel="00000000" w:rsidR="00000000" w:rsidRPr="00000000">
        <w:rPr>
          <w:rFonts w:ascii="Google Sans" w:cs="Google Sans" w:eastAsia="Google Sans" w:hAnsi="Google Sans"/>
          <w:color w:val="1f1f1f"/>
          <w:rtl w:val="0"/>
        </w:rPr>
        <w:t xml:space="preserve"> Relevance score </w:t>
      </w:r>
      <w:r w:rsidDel="00000000" w:rsidR="00000000" w:rsidRPr="00000000">
        <w:rPr>
          <w:rFonts w:ascii="Google Sans" w:cs="Google Sans" w:eastAsia="Google Sans" w:hAnsi="Google Sans"/>
          <w:color w:val="1f1f1f"/>
        </w:rPr>
        <w:drawing>
          <wp:inline distB="19050" distT="19050" distL="19050" distR="19050">
            <wp:extent cx="555278" cy="239344"/>
            <wp:effectExtent b="0" l="0" r="0" t="0"/>
            <wp:docPr id="11"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55278" cy="2393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agent classifies the query as out-of-scope and refuses to generate agronomic advice.</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Risk Assessment &amp; Mitigation</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Factor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Mitigation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KCC Dataset Noise/Outdated Info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Apply strict temporal filtering; exclude financial/subsidy data from KCC logs, relying only on official PDFs for policy.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LLM Context Window Exhaustion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Implement strict max-token limits on RAG chunk retrieval (Top-K=3) to fit within the quantized model's constraints.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Hallucination in Translation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Utilize RAGAS Faithfulness metrics during testing to ensure the LLM's Hindi output logically matches the retrieved Hindi context.</w:t>
            </w:r>
          </w:p>
        </w:tc>
      </w:tr>
    </w:tbl>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Ethical Considerations</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Transparency of AI Involvement:</w:t>
      </w:r>
      <w:r w:rsidDel="00000000" w:rsidR="00000000" w:rsidRPr="00000000">
        <w:rPr>
          <w:rFonts w:ascii="Google Sans" w:cs="Google Sans" w:eastAsia="Google Sans" w:hAnsi="Google Sans"/>
          <w:color w:val="1f1f1f"/>
          <w:rtl w:val="0"/>
        </w:rPr>
        <w:t xml:space="preserve"> The system interface will clearly state that advice is AI-generated and should not replace emergency consultation with a local KVK officer.</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Chemical Safety:</w:t>
      </w:r>
      <w:r w:rsidDel="00000000" w:rsidR="00000000" w:rsidRPr="00000000">
        <w:rPr>
          <w:rFonts w:ascii="Google Sans" w:cs="Google Sans" w:eastAsia="Google Sans" w:hAnsi="Google Sans"/>
          <w:color w:val="1f1f1f"/>
          <w:rtl w:val="0"/>
        </w:rPr>
        <w:t xml:space="preserve"> The prompt engineering will strictly forbid the LLM from synthesizing novel chemical mixtures, forcing it to only output dosages exactly as written in the retrieved ICAR/KCC documentation.</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System Limitations</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Narrow Scope:</w:t>
      </w:r>
      <w:r w:rsidDel="00000000" w:rsidR="00000000" w:rsidRPr="00000000">
        <w:rPr>
          <w:rFonts w:ascii="Google Sans" w:cs="Google Sans" w:eastAsia="Google Sans" w:hAnsi="Google Sans"/>
          <w:color w:val="1f1f1f"/>
          <w:rtl w:val="0"/>
        </w:rPr>
        <w:t xml:space="preserve"> The system is explicitly constrained to Rice and Wheat in UP. Queries regarding cash crops (e.g., Sugarcane) will trigger the Tier 3 out-of-scope redirect.</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 Hardware Actuation:</w:t>
      </w:r>
      <w:r w:rsidDel="00000000" w:rsidR="00000000" w:rsidRPr="00000000">
        <w:rPr>
          <w:rFonts w:ascii="Google Sans" w:cs="Google Sans" w:eastAsia="Google Sans" w:hAnsi="Google Sans"/>
          <w:color w:val="1f1f1f"/>
          <w:rtl w:val="0"/>
        </w:rPr>
        <w:t xml:space="preserve"> The system provides advice and predictive yield estimates but cannot interface with farm IoT hardware for automated irrigation or spraying.</w:t>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Text/Image Dependency (Core):</w:t>
      </w:r>
      <w:r w:rsidDel="00000000" w:rsidR="00000000" w:rsidRPr="00000000">
        <w:rPr>
          <w:rFonts w:ascii="Google Sans" w:cs="Google Sans" w:eastAsia="Google Sans" w:hAnsi="Google Sans"/>
          <w:color w:val="1f1f1f"/>
          <w:rtl w:val="0"/>
        </w:rPr>
        <w:t xml:space="preserve"> While voice is a stretch goal, the core PoC requires a baseline level of literacy and internet connectivity to upload images and read text responses.</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Computational Requirements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is explicitly designed to operate within consumer-grade and free-tier cloud constraints:</w:t>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Vision Fine-Tuning:</w:t>
      </w:r>
      <w:r w:rsidDel="00000000" w:rsidR="00000000" w:rsidRPr="00000000">
        <w:rPr>
          <w:rFonts w:ascii="Google Sans" w:cs="Google Sans" w:eastAsia="Google Sans" w:hAnsi="Google Sans"/>
          <w:color w:val="1f1f1f"/>
          <w:rtl w:val="0"/>
        </w:rPr>
        <w:t xml:space="preserve"> Executable on a Kaggle free-tier NVIDIA T4 GPU (16GB VRAM) within 4-6 hours due to the lightweight nature of EfficientNet/YOLOv8.</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LLM Deployment:</w:t>
      </w:r>
      <w:r w:rsidDel="00000000" w:rsidR="00000000" w:rsidRPr="00000000">
        <w:rPr>
          <w:rFonts w:ascii="Google Sans" w:cs="Google Sans" w:eastAsia="Google Sans" w:hAnsi="Google Sans"/>
          <w:color w:val="1f1f1f"/>
          <w:rtl w:val="0"/>
        </w:rPr>
        <w:t xml:space="preserve"> The reasoning agent (e.g., Gemma-2-9B or 12B variant) will be loaded using 4-bit quantization (bitsandbytes), reducing its memory footprint to </w:t>
      </w:r>
      <w:r w:rsidDel="00000000" w:rsidR="00000000" w:rsidRPr="00000000">
        <w:rPr>
          <w:rFonts w:ascii="Google Sans" w:cs="Google Sans" w:eastAsia="Google Sans" w:hAnsi="Google Sans"/>
          <w:color w:val="1f1f1f"/>
        </w:rPr>
        <w:drawing>
          <wp:inline distB="19050" distT="19050" distL="19050" distR="19050">
            <wp:extent cx="642491" cy="239735"/>
            <wp:effectExtent b="0" l="0" r="0" t="0"/>
            <wp:docPr id="12"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642491" cy="2397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GB VRAM, leaving ample overhead for the FastAPI router and in-memory ChromaDB instance.</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Target Inference Latency:</w:t>
      </w:r>
      <w:r w:rsidDel="00000000" w:rsidR="00000000" w:rsidRPr="00000000">
        <w:rPr>
          <w:rFonts w:ascii="Google Sans" w:cs="Google Sans" w:eastAsia="Google Sans" w:hAnsi="Google Sans"/>
          <w:color w:val="1f1f1f"/>
          <w:rtl w:val="0"/>
        </w:rPr>
        <w:t xml:space="preserve"> Vision classification </w:t>
      </w:r>
      <w:r w:rsidDel="00000000" w:rsidR="00000000" w:rsidRPr="00000000">
        <w:rPr>
          <w:rFonts w:ascii="Google Sans" w:cs="Google Sans" w:eastAsia="Google Sans" w:hAnsi="Google Sans"/>
          <w:color w:val="1f1f1f"/>
        </w:rPr>
        <w:drawing>
          <wp:inline distB="19050" distT="19050" distL="19050" distR="19050">
            <wp:extent cx="457349" cy="238202"/>
            <wp:effectExtent b="0" l="0" r="0" t="0"/>
            <wp:docPr id="1"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457349" cy="2382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seconds; Agentic RAG text generation </w:t>
      </w:r>
      <w:r w:rsidDel="00000000" w:rsidR="00000000" w:rsidRPr="00000000">
        <w:rPr>
          <w:rFonts w:ascii="Google Sans" w:cs="Google Sans" w:eastAsia="Google Sans" w:hAnsi="Google Sans"/>
          <w:color w:val="1f1f1f"/>
        </w:rPr>
        <w:drawing>
          <wp:inline distB="19050" distT="19050" distL="19050" distR="19050">
            <wp:extent cx="457349" cy="238202"/>
            <wp:effectExtent b="0" l="0" r="0" t="0"/>
            <wp:docPr id="2"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457349" cy="2382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seconds.</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References</w:t>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Hughes, D., Salathé, M. (2016). </w:t>
      </w:r>
      <w:r w:rsidDel="00000000" w:rsidR="00000000" w:rsidRPr="00000000">
        <w:rPr>
          <w:rFonts w:ascii="Google Sans" w:cs="Google Sans" w:eastAsia="Google Sans" w:hAnsi="Google Sans"/>
          <w:i w:val="1"/>
          <w:iCs w:val="1"/>
          <w:color w:val="1f1f1f"/>
          <w:rtl w:val="0"/>
        </w:rPr>
        <w:t xml:space="preserve">PlantVillage — An open access repository of images on plant health.</w:t>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Singh, D., et al. (2020). </w:t>
      </w:r>
      <w:r w:rsidDel="00000000" w:rsidR="00000000" w:rsidRPr="00000000">
        <w:rPr>
          <w:rFonts w:ascii="Google Sans" w:cs="Google Sans" w:eastAsia="Google Sans" w:hAnsi="Google Sans"/>
          <w:i w:val="1"/>
          <w:iCs w:val="1"/>
          <w:color w:val="1f1f1f"/>
          <w:rtl w:val="0"/>
        </w:rPr>
        <w:t xml:space="preserve">PlantDoc: A Dataset for Visual Plant Disease Detection.</w:t>
      </w:r>
      <w:r w:rsidDel="00000000" w:rsidR="00000000" w:rsidRPr="00000000">
        <w:rPr>
          <w:rFonts w:ascii="Google Sans" w:cs="Google Sans" w:eastAsia="Google Sans" w:hAnsi="Google Sans"/>
          <w:color w:val="1f1f1f"/>
          <w:rtl w:val="0"/>
        </w:rPr>
        <w:t xml:space="preserve"> ACM CoDS-COMAD.</w:t>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Khanuja, S., et al. (2021). </w:t>
      </w:r>
      <w:r w:rsidDel="00000000" w:rsidR="00000000" w:rsidRPr="00000000">
        <w:rPr>
          <w:rFonts w:ascii="Google Sans" w:cs="Google Sans" w:eastAsia="Google Sans" w:hAnsi="Google Sans"/>
          <w:i w:val="1"/>
          <w:iCs w:val="1"/>
          <w:color w:val="1f1f1f"/>
          <w:rtl w:val="0"/>
        </w:rPr>
        <w:t xml:space="preserve">MuRIL: Multilingual Representations for Indian Languages.</w:t>
      </w:r>
      <w:r w:rsidDel="00000000" w:rsidR="00000000" w:rsidRPr="00000000">
        <w:rPr>
          <w:rFonts w:ascii="Google Sans" w:cs="Google Sans" w:eastAsia="Google Sans" w:hAnsi="Google Sans"/>
          <w:color w:val="1f1f1f"/>
          <w:rtl w:val="0"/>
        </w:rPr>
        <w:t xml:space="preserve"> Google Research.</w:t>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Es, S., et al. (2023). </w:t>
      </w:r>
      <w:r w:rsidDel="00000000" w:rsidR="00000000" w:rsidRPr="00000000">
        <w:rPr>
          <w:rFonts w:ascii="Google Sans" w:cs="Google Sans" w:eastAsia="Google Sans" w:hAnsi="Google Sans"/>
          <w:i w:val="1"/>
          <w:iCs w:val="1"/>
          <w:color w:val="1f1f1f"/>
          <w:rtl w:val="0"/>
        </w:rPr>
        <w:t xml:space="preserve">RAGAS: Automated Evaluation of Retrieval Augmented Generation.</w:t>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Rehman, M.Z.U., et al. (2023). </w:t>
      </w:r>
      <w:r w:rsidDel="00000000" w:rsidR="00000000" w:rsidRPr="00000000">
        <w:rPr>
          <w:rFonts w:ascii="Google Sans" w:cs="Google Sans" w:eastAsia="Google Sans" w:hAnsi="Google Sans"/>
          <w:i w:val="1"/>
          <w:iCs w:val="1"/>
          <w:color w:val="1f1f1f"/>
          <w:rtl w:val="0"/>
        </w:rPr>
        <w:t xml:space="preserve">KisanQRS: A Deep Learning-based Automated Query-Response System for Agricultural Decision-Making.</w:t>
      </w:r>
      <w:r w:rsidDel="00000000" w:rsidR="00000000" w:rsidRPr="00000000">
        <w:rPr>
          <w:rFonts w:ascii="Google Sans" w:cs="Google Sans" w:eastAsia="Google Sans" w:hAnsi="Google Sans"/>
          <w:color w:val="1f1f1f"/>
          <w:rtl w:val="0"/>
        </w:rPr>
        <w:t xml:space="preserve"> Computers and Electronics in Agriculture.</w:t>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Yao, S., et al. (2022). </w:t>
      </w:r>
      <w:r w:rsidDel="00000000" w:rsidR="00000000" w:rsidRPr="00000000">
        <w:rPr>
          <w:rFonts w:ascii="Google Sans" w:cs="Google Sans" w:eastAsia="Google Sans" w:hAnsi="Google Sans"/>
          <w:i w:val="1"/>
          <w:iCs w:val="1"/>
          <w:color w:val="1f1f1f"/>
          <w:rtl w:val="0"/>
        </w:rPr>
        <w:t xml:space="preserve">ReAct: Synergizing Reasoning and Acting in Language Models.</w:t>
      </w:r>
      <w:r w:rsidDel="00000000" w:rsidR="00000000" w:rsidRPr="00000000">
        <w:rPr>
          <w:rFonts w:ascii="Google Sans" w:cs="Google Sans" w:eastAsia="Google Sans" w:hAnsi="Google Sans"/>
          <w:color w:val="1f1f1f"/>
          <w:rtl w:val="0"/>
        </w:rPr>
        <w:t xml:space="preserve"> ICLR.</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Appendix: System Scenarios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Scenario 1: The Vision Handoff (Field-Robustness in Action)</w:t>
      </w:r>
    </w:p>
    <w:p w:rsidR="00000000" w:rsidDel="00000000" w:rsidP="00000000" w:rsidRDefault="00000000" w:rsidRPr="00000000" w14:paraId="000000A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Input:</w:t>
      </w:r>
      <w:r w:rsidDel="00000000" w:rsidR="00000000" w:rsidRPr="00000000">
        <w:rPr>
          <w:rFonts w:ascii="Google Sans" w:cs="Google Sans" w:eastAsia="Google Sans" w:hAnsi="Google Sans"/>
          <w:color w:val="1f1f1f"/>
          <w:rtl w:val="0"/>
        </w:rPr>
        <w:t xml:space="preserve"> Farmer uploads a poorly lit photo of a wheat leaf with spots and types, "What medicine for this?"</w:t>
      </w:r>
    </w:p>
    <w:p w:rsidR="00000000" w:rsidDel="00000000" w:rsidP="00000000" w:rsidRDefault="00000000" w:rsidRPr="00000000" w14:paraId="000000A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Vision Pass:</w:t>
      </w:r>
      <w:r w:rsidDel="00000000" w:rsidR="00000000" w:rsidRPr="00000000">
        <w:rPr>
          <w:rFonts w:ascii="Google Sans" w:cs="Google Sans" w:eastAsia="Google Sans" w:hAnsi="Google Sans"/>
          <w:color w:val="1f1f1f"/>
          <w:rtl w:val="0"/>
        </w:rPr>
        <w:t xml:space="preserve"> The CNN identifies Brown Spot (Conf: 88%) despite the background noise.</w:t>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Agent Pass:</w:t>
      </w:r>
      <w:r w:rsidDel="00000000" w:rsidR="00000000" w:rsidRPr="00000000">
        <w:rPr>
          <w:rFonts w:ascii="Google Sans" w:cs="Google Sans" w:eastAsia="Google Sans" w:hAnsi="Google Sans"/>
          <w:color w:val="1f1f1f"/>
          <w:rtl w:val="0"/>
        </w:rPr>
        <w:t xml:space="preserve"> The LLM receives the text query + the CNN label. It queries the Vector DB for "Brown Spot Wheat Treatment UP", retrieves the exact Mancozeb dosage, and generates a fully grounded response.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Scenario 2: Agentic Tool Calling (Yield Prediction)</w:t>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Input:</w:t>
      </w:r>
      <w:r w:rsidDel="00000000" w:rsidR="00000000" w:rsidRPr="00000000">
        <w:rPr>
          <w:rFonts w:ascii="Google Sans" w:cs="Google Sans" w:eastAsia="Google Sans" w:hAnsi="Google Sans"/>
          <w:color w:val="1f1f1f"/>
          <w:rtl w:val="0"/>
        </w:rPr>
        <w:t xml:space="preserve"> "I am planting wheat on 2 hectares in Varanasi. How much will I harvest?"</w:t>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Reasoning:</w:t>
      </w:r>
      <w:r w:rsidDel="00000000" w:rsidR="00000000" w:rsidRPr="00000000">
        <w:rPr>
          <w:rFonts w:ascii="Google Sans" w:cs="Google Sans" w:eastAsia="Google Sans" w:hAnsi="Google Sans"/>
          <w:color w:val="1f1f1f"/>
          <w:rtl w:val="0"/>
        </w:rPr>
        <w:t xml:space="preserve"> The LLM identifies the intent as yield prediction (if tool is implemented). It checks its required tool parameters (crop, area, district). All are present.</w:t>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Action:</w:t>
      </w:r>
      <w:r w:rsidDel="00000000" w:rsidR="00000000" w:rsidRPr="00000000">
        <w:rPr>
          <w:rFonts w:ascii="Google Sans" w:cs="Google Sans" w:eastAsia="Google Sans" w:hAnsi="Google Sans"/>
          <w:color w:val="1f1f1f"/>
          <w:rtl w:val="0"/>
        </w:rPr>
        <w:t xml:space="preserve"> It pauses text generation, executes the predict_yield("wheat", 2.0, "Varanasi") Python function, receives the numerical output (e.g., 65 quintals), and seamlessly integrates it into the final conversational response.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Scenario 3: Context Elicitation (Missing Information)</w:t>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Input:</w:t>
      </w:r>
      <w:r w:rsidDel="00000000" w:rsidR="00000000" w:rsidRPr="00000000">
        <w:rPr>
          <w:rFonts w:ascii="Google Sans" w:cs="Google Sans" w:eastAsia="Google Sans" w:hAnsi="Google Sans"/>
          <w:color w:val="1f1f1f"/>
          <w:rtl w:val="0"/>
        </w:rPr>
        <w:t xml:space="preserve"> "Will my yield be good this year?"</w:t>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Reasoning:</w:t>
      </w:r>
      <w:r w:rsidDel="00000000" w:rsidR="00000000" w:rsidRPr="00000000">
        <w:rPr>
          <w:rFonts w:ascii="Google Sans" w:cs="Google Sans" w:eastAsia="Google Sans" w:hAnsi="Google Sans"/>
          <w:color w:val="1f1f1f"/>
          <w:rtl w:val="0"/>
        </w:rPr>
        <w:t xml:space="preserve"> The LLM identifies the yield prediction intent but notes missing parameters (crop, area, district).</w:t>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Action:</w:t>
      </w:r>
      <w:r w:rsidDel="00000000" w:rsidR="00000000" w:rsidRPr="00000000">
        <w:rPr>
          <w:rFonts w:ascii="Google Sans" w:cs="Google Sans" w:eastAsia="Google Sans" w:hAnsi="Google Sans"/>
          <w:color w:val="1f1f1f"/>
          <w:rtl w:val="0"/>
        </w:rPr>
        <w:t xml:space="preserve"> Instead of hallucinating, it responds: "I can help estimate your yield! Could you please tell me which district you are in, whether you are planting rice or wheat, and your farm size?"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1.png"/><Relationship Id="rId21" Type="http://schemas.openxmlformats.org/officeDocument/2006/relationships/image" Target="media/image1.png"/><Relationship Id="rId24" Type="http://schemas.openxmlformats.org/officeDocument/2006/relationships/image" Target="media/image8.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5.png"/><Relationship Id="rId25" Type="http://schemas.openxmlformats.org/officeDocument/2006/relationships/image" Target="media/image6.png"/><Relationship Id="rId28" Type="http://schemas.openxmlformats.org/officeDocument/2006/relationships/image" Target="media/image7.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9.png"/><Relationship Id="rId8" Type="http://schemas.openxmlformats.org/officeDocument/2006/relationships/image" Target="media/image12.png"/><Relationship Id="rId11" Type="http://schemas.openxmlformats.org/officeDocument/2006/relationships/image" Target="media/image3.png"/><Relationship Id="rId10" Type="http://schemas.openxmlformats.org/officeDocument/2006/relationships/image" Target="media/image10.png"/><Relationship Id="rId13" Type="http://schemas.openxmlformats.org/officeDocument/2006/relationships/image" Target="media/image17.png"/><Relationship Id="rId12" Type="http://schemas.openxmlformats.org/officeDocument/2006/relationships/image" Target="media/image4.png"/><Relationship Id="rId15" Type="http://schemas.openxmlformats.org/officeDocument/2006/relationships/image" Target="media/image21.png"/><Relationship Id="rId14" Type="http://schemas.openxmlformats.org/officeDocument/2006/relationships/image" Target="media/image22.png"/><Relationship Id="rId17" Type="http://schemas.openxmlformats.org/officeDocument/2006/relationships/image" Target="media/image16.png"/><Relationship Id="rId16" Type="http://schemas.openxmlformats.org/officeDocument/2006/relationships/image" Target="media/image19.png"/><Relationship Id="rId19" Type="http://schemas.openxmlformats.org/officeDocument/2006/relationships/image" Target="media/image23.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