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af0"/>
        <w:jc w:val="center"/>
      </w:pPr>
      <w:r>
        <w:rPr>
          <w:rFonts w:ascii="Yu Mincho" w:hAnsi="Yu Mincho" w:eastAsia="Yu Mincho"/>
          <w:b/>
          <w:sz w:val="27"/>
        </w:rPr>
        <w:t>河川氾濫時における自家用車避難とデマンド交通バス活用の比較シミュレーション</w:t>
      </w:r>
    </w:p>
    <w:p>
      <w:pPr>
        <w:jc w:val="center"/>
      </w:pPr>
      <w:r>
        <w:rPr>
          <w:rFonts w:ascii="Yu Mincho" w:hAnsi="Yu Mincho" w:eastAsia="Yu Mincho"/>
          <w:b/>
          <w:sz w:val="23"/>
        </w:rPr>
        <w:t>に関する研究</w:t>
      </w:r>
    </w:p>
    <w:p>
      <w:pPr>
        <w:jc w:val="center"/>
      </w:pPr>
      <w:r>
        <w:rPr>
          <w:rFonts w:ascii="Yu Mincho" w:hAnsi="Yu Mincho" w:eastAsia="Yu Mincho"/>
          <w:b w:val="0"/>
          <w:sz w:val="19"/>
        </w:rPr>
        <w:t>眞坂研究室　氏名：古賀玲次</w:t>
      </w:r>
    </w:p>
    <w:p>
      <w:pPr>
        <w:sectPr>
          <w:type w:val="continuous"/>
          <w:pgSz w:w="11906" w:h="16838" w:code="9"/>
          <w:pgMar w:top="1134" w:right="850" w:bottom="850" w:left="850" w:header="794" w:footer="510" w:gutter="0"/>
          <w:cols w:num="1" w:space="425"/>
          <w:docGrid w:type="lines" w:linePitch="360"/>
        </w:sectPr>
      </w:pPr>
    </w:p>
    <w:p>
      <w:pPr>
        <w:pStyle w:val="1"/>
      </w:pPr>
      <w:r>
        <w:rPr>
          <w:rFonts w:ascii="Yu Mincho" w:hAnsi="Yu Mincho" w:eastAsia="Yu Mincho"/>
          <w:b/>
          <w:sz w:val="21"/>
        </w:rPr>
        <w:t>1. はじめに</w:t>
      </w:r>
    </w:p>
    <w:p>
      <w:pPr>
        <w:ind w:firstLine="180"/>
      </w:pPr>
      <w:r>
        <w:rPr>
          <w:rFonts w:ascii="Yu Mincho" w:hAnsi="Yu Mincho" w:eastAsia="Yu Mincho"/>
          <w:b w:val="0"/>
          <w:sz w:val="18"/>
        </w:rPr>
        <w:t>地域公共交通として導入されているデマンド交通は，平時の移動支援手段として期待される一方で，利用者数や運行費用の面から継続性が課題となる場合がある[5]．本研究では，デマンド交通に平時以外の付加価値を持たせる一案として，河川氾濫時の避難支援への活用可能性に着目する．</w:t>
      </w:r>
    </w:p>
    <w:p>
      <w:pPr>
        <w:ind w:firstLine="180"/>
      </w:pPr>
      <w:r>
        <w:rPr>
          <w:rFonts w:ascii="Yu Mincho" w:hAnsi="Yu Mincho" w:eastAsia="Yu Mincho"/>
          <w:b w:val="0"/>
          <w:sz w:val="18"/>
        </w:rPr>
        <w:t>対象事例は，平成27年9月関東・東北豪雨に伴う鬼怒川氾濫である．2015年9月10日，茨城県常総市三坂町付近で鬼怒川左岸の堤防が決壊し，市域の広い範囲で浸水被害が発生した[1][2]．水害時の自動車避難では，車両が動けなくなる危険や避難経路上の混雑が指摘されている[6][7]．そこで本研究では，自家用車避難が一部道路へ集中した場合の到着遅れや逃げ遅れ候補を交通流シミュレーションで確認する．</w:t>
      </w:r>
    </w:p>
    <w:p>
      <w:pPr>
        <w:ind w:firstLine="180"/>
      </w:pPr>
      <w:r>
        <w:rPr>
          <w:rFonts w:ascii="Yu Mincho" w:hAnsi="Yu Mincho" w:eastAsia="Yu Mincho"/>
          <w:b w:val="0"/>
          <w:sz w:val="18"/>
        </w:rPr>
        <w:t>避難支援には，徒歩避難，家族・近隣住民による送迎，福祉輸送，自治体バスなど複数の方法がある．本研究では，そのうち既存のデマンド交通バスを災害時避難に活用する案を検討対象とする．本発表では，Phase 1とPhase 2の結果を報告し，Phase 3は今後の実装対象とする．</w:t>
      </w:r>
    </w:p>
    <w:p>
      <w:pPr>
        <w:jc w:val="center"/>
      </w:pPr>
      <w:r>
        <w:rPr>
          <w:rFonts w:ascii="Yu Mincho" w:hAnsi="Yu Mincho" w:eastAsia="Yu Mincho"/>
          <w:b/>
          <w:sz w:val="16"/>
        </w:rPr>
        <w:t>表1．研究フェーズの位置づけ</w:t>
      </w:r>
    </w:p>
    <w:tbl>
      <w:tblPr>
        <w:tblStyle w:val="af4"/>
        <w:tblW w:type="auto" w:w="0"/>
        <w:tblLayout w:type="autofit"/>
        <w:tblLook w:firstColumn="1" w:firstRow="1" w:lastColumn="0" w:lastRow="0" w:noHBand="0" w:noVBand="1" w:val="04A0"/>
      </w:tblPr>
      <w:tblGrid>
        <w:gridCol w:w="3402"/>
        <w:gridCol w:w="3402"/>
        <w:gridCol w:w="3402"/>
      </w:tblGrid>
      <w:tr>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フェーズ</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役割</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本発表での扱い</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1</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閉鎖道路を除き，避難所までの経路有無を確認する</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報告対象</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2</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自家用車のみの交通流をSUMOで再現し，到着・未到着・混雑を確認する</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報告対象</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3</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デマンド交通バス導入時の効果を自家用車のみの場合と比較する</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今後実装</w:t>
            </w:r>
          </w:p>
        </w:tc>
      </w:tr>
    </w:tbl>
    <w:p>
      <w:pPr>
        <w:pStyle w:val="1"/>
      </w:pPr>
      <w:r>
        <w:rPr>
          <w:rFonts w:ascii="Yu Mincho" w:hAnsi="Yu Mincho" w:eastAsia="Yu Mincho"/>
          <w:b/>
          <w:sz w:val="21"/>
        </w:rPr>
        <w:t>2. 方法</w:t>
      </w:r>
    </w:p>
    <w:p>
      <w:pPr>
        <w:ind w:firstLine="180"/>
      </w:pPr>
      <w:r>
        <w:rPr>
          <w:rFonts w:ascii="Yu Mincho" w:hAnsi="Yu Mincho" w:eastAsia="Yu Mincho"/>
          <w:b w:val="0"/>
          <w:sz w:val="18"/>
        </w:rPr>
        <w:t>本研究では，浸水データ，道路ネットワーク，人口メッシュ，避難施設データを組み合わせる．道路閉鎖はSUMO実行後の結果ではなく，事前に作成する入力条件である．A31a浸水想定区域の浸水深コードを用い[8]，浸水深0.5m以上の範囲と道路リンクが重なる場合に通行困難道路とした．0.5m以上をしきい値としたのは，浸水深0.5m程度で自動車走行が危険になることが示されているためである[7]．</w:t>
      </w:r>
    </w:p>
    <w:p>
      <w:pPr>
        <w:ind w:firstLine="180"/>
      </w:pPr>
      <w:r>
        <w:rPr>
          <w:rFonts w:ascii="Yu Mincho" w:hAnsi="Yu Mincho" w:eastAsia="Yu Mincho"/>
          <w:b w:val="0"/>
          <w:sz w:val="18"/>
        </w:rPr>
        <w:t>Phase 1では，閉鎖道路を除いた道路ネットワーク上で，出発地から洪水対応避難所までの経路が存在するかを確認した．Phase 2では，Phase 1の閉鎖道路をSUMO edge IDへ変換し，TraCIにより走行中の道路閉鎖と再経路探索を行った．SUMO上の時間は0〜21,600秒とし，浸水時系列t0〜t7を6時間に対応付けた．</w:t>
      </w:r>
    </w:p>
    <w:p>
      <w:pPr>
        <w:jc w:val="center"/>
      </w:pPr>
      <w:r>
        <w:rPr>
          <w:rFonts w:ascii="Yu Mincho" w:hAnsi="Yu Mincho" w:eastAsia="Yu Mincho"/>
          <w:b/>
          <w:sz w:val="16"/>
        </w:rPr>
        <w:t>表2．主な使用データと派生データ</w:t>
      </w:r>
    </w:p>
    <w:tbl>
      <w:tblPr>
        <w:tblStyle w:val="af4"/>
        <w:tblW w:type="auto" w:w="0"/>
        <w:tblLayout w:type="autofit"/>
        <w:tblLook w:firstColumn="1" w:firstRow="1" w:lastColumn="0" w:lastRow="0" w:noHBand="0" w:noVBand="1" w:val="04A0"/>
      </w:tblPr>
      <w:tblGrid>
        <w:gridCol w:w="3402"/>
        <w:gridCol w:w="3402"/>
        <w:gridCol w:w="3402"/>
      </w:tblGrid>
      <w:tr>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区分</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データ・ファイル</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研究内での役割</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浸水</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国土地理院KML，A31a浸水想定区域</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浸水範囲と閉鎖道路条件の作成</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道路・区域</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道路ネットワークGraphML，行政区域N03</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経路検索とSUMOネットワーク作成</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人口・避難先</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250m人口メッシュ，避難施設P20</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出発地，車両数，避難所の設定</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SUMO入力</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`joso.net.xml`，`closure_timeline_sumo.json`，`agent_origins_sumo.csv`，`agent_origins_10pct.csv`，`shelters_sumo.csv`</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交通流シミュレーションの入力</w:t>
            </w:r>
          </w:p>
        </w:tc>
      </w:tr>
    </w:tbl>
    <w:p>
      <w:pPr>
        <w:pStyle w:val="1"/>
      </w:pPr>
      <w:r>
        <w:rPr>
          <w:rFonts w:ascii="Yu Mincho" w:hAnsi="Yu Mincho" w:eastAsia="Yu Mincho"/>
          <w:b/>
          <w:sz w:val="21"/>
        </w:rPr>
        <w:t>3. 結果</w:t>
      </w:r>
    </w:p>
    <w:p>
      <w:pPr>
        <w:ind w:firstLine="180"/>
      </w:pPr>
      <w:r>
        <w:rPr>
          <w:rFonts w:ascii="Yu Mincho" w:hAnsi="Yu Mincho" w:eastAsia="Yu Mincho"/>
          <w:b w:val="0"/>
          <w:sz w:val="18"/>
        </w:rPr>
        <w:t>Phase 1の常総市試行では，出発地40メッシュ，人口2,257人，高齢者611人を対象とした．閉鎖道路を考慮した結果，到達不可となったのは17メッシュ，人口952人，高齢者223人であった．また，茨城県内41市区町村へ静的経路検索を拡張し，市区町村別シナリオHTMLを生成した．</w:t>
      </w:r>
    </w:p>
    <w:p>
      <w:pPr>
        <w:ind w:firstLine="180"/>
      </w:pPr>
      <w:r>
        <w:rPr>
          <w:rFonts w:ascii="Yu Mincho" w:hAnsi="Yu Mincho" w:eastAsia="Yu Mincho"/>
          <w:b w:val="0"/>
          <w:sz w:val="18"/>
        </w:rPr>
        <w:t>Phase 2では，常総市を対象にsmall，10pct，fullの3規模で自家用車避難を実行した．full試行の1,001台は常総市全体の車両数ではなく，対象40メッシュの人口を1世帯2.3人としてメッシュごとに世帯換算し，切り上げた避難車両数である．常総市全体の自動車保有台数25,698台とは区別する．</w:t>
      </w:r>
    </w:p>
    <w:p>
      <w:pPr>
        <w:jc w:val="center"/>
      </w:pPr>
      <w:r>
        <w:rPr>
          <w:rFonts w:ascii="Yu Mincho" w:hAnsi="Yu Mincho" w:eastAsia="Yu Mincho"/>
          <w:b/>
          <w:sz w:val="16"/>
        </w:rPr>
        <w:t>表3．主な結果</w:t>
      </w:r>
    </w:p>
    <w:tbl>
      <w:tblPr>
        <w:tblStyle w:val="af4"/>
        <w:tblW w:type="auto" w:w="0"/>
        <w:tblLayout w:type="autofit"/>
        <w:tblLook w:firstColumn="1" w:firstRow="1" w:lastColumn="0" w:lastRow="0" w:noHBand="0" w:noVBand="1" w:val="04A0"/>
      </w:tblPr>
      <w:tblGrid>
        <w:gridCol w:w="3402"/>
        <w:gridCol w:w="3402"/>
        <w:gridCol w:w="3402"/>
      </w:tblGrid>
      <w:tr>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区分</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指標</w:t>
            </w:r>
          </w:p>
        </w:tc>
        <w:tc>
          <w:tcPr>
            <w:tcW w:type="dxa" w:w="3402"/>
            <w:vAlign w:val="center"/>
            <w:tcMar>
              <w:top w:w="55" w:type="dxa"/>
              <w:start w:w="55" w:type="dxa"/>
              <w:bottom w:w="55" w:type="dxa"/>
              <w:end w:w="55" w:type="dxa"/>
            </w:tcMar>
            <w:shd w:fill="EFEFEF"/>
          </w:tcPr>
          <w:p>
            <w:pPr>
              <w:jc w:val="center"/>
            </w:pPr>
            <w:r/>
            <w:r>
              <w:rPr>
                <w:rFonts w:ascii="Yu Mincho" w:hAnsi="Yu Mincho" w:eastAsia="Yu Mincho"/>
                <w:b/>
                <w:sz w:val="14"/>
              </w:rPr>
              <w:t>結果</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1</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到達不可</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17メッシュ，人口952人，高齢者223人</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2 full</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到着・未到着</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1,001台中987台到着，14台未到着</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Phase 2 full</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主要道路の混雑</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県道357号で最大137台・停止105台，国道294号で最大61台・停止7台</w:t>
            </w:r>
          </w:p>
        </w:tc>
      </w:tr>
      <w:tr>
        <w:tc>
          <w:tcPr>
            <w:tcW w:type="dxa" w:w="3402"/>
            <w:vAlign w:val="center"/>
            <w:tcMar>
              <w:top w:w="55" w:type="dxa"/>
              <w:start w:w="55" w:type="dxa"/>
              <w:bottom w:w="55" w:type="dxa"/>
              <w:end w:w="55" w:type="dxa"/>
            </w:tcMar>
          </w:tcPr>
          <w:p>
            <w:pPr>
              <w:jc w:val="left"/>
            </w:pPr>
            <w:r/>
            <w:r>
              <w:rPr>
                <w:rFonts w:ascii="Yu Mincho" w:hAnsi="Yu Mincho" w:eastAsia="Yu Mincho"/>
                <w:b w:val="0"/>
                <w:sz w:val="14"/>
              </w:rPr>
              <w:t>41市区町村</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10pct試行</w:t>
            </w:r>
          </w:p>
        </w:tc>
        <w:tc>
          <w:tcPr>
            <w:tcW w:type="dxa" w:w="3402"/>
            <w:vAlign w:val="center"/>
            <w:tcMar>
              <w:top w:w="55" w:type="dxa"/>
              <w:start w:w="55" w:type="dxa"/>
              <w:bottom w:w="55" w:type="dxa"/>
              <w:end w:w="55" w:type="dxa"/>
            </w:tcMar>
          </w:tcPr>
          <w:p>
            <w:pPr>
              <w:jc w:val="left"/>
            </w:pPr>
            <w:r/>
            <w:r>
              <w:rPr>
                <w:rFonts w:ascii="Yu Mincho" w:hAnsi="Yu Mincho" w:eastAsia="Yu Mincho"/>
                <w:b w:val="0"/>
                <w:sz w:val="14"/>
              </w:rPr>
              <w:t>合計23,054台，逃げ遅れ候補0台</w:t>
            </w:r>
          </w:p>
        </w:tc>
      </w:tr>
    </w:tbl>
    <w:p>
      <w:pPr>
        <w:ind w:firstLine="180"/>
      </w:pPr>
      <w:r>
        <w:rPr>
          <w:rFonts w:ascii="Yu Mincho" w:hAnsi="Yu Mincho" w:eastAsia="Yu Mincho"/>
          <w:b w:val="0"/>
          <w:sz w:val="18"/>
        </w:rPr>
        <w:t>未到着14台は，いずれも閉鎖済みの出発edgeから発車できなかった車両である．これは設定した道路閉鎖条件により，出発地点周辺の道路がすでに通行困難となった状態を示す．本研究では，これらを逃げ遅れ候補として扱う．</w:t>
      </w:r>
    </w:p>
    <w:p>
      <w:pPr>
        <w:pStyle w:val="1"/>
      </w:pPr>
      <w:r>
        <w:rPr>
          <w:rFonts w:ascii="Yu Mincho" w:hAnsi="Yu Mincho" w:eastAsia="Yu Mincho"/>
          <w:b/>
          <w:sz w:val="21"/>
        </w:rPr>
        <w:t>4. 考察と今後の予定</w:t>
      </w:r>
    </w:p>
    <w:p>
      <w:pPr>
        <w:ind w:firstLine="180"/>
      </w:pPr>
      <w:r>
        <w:rPr>
          <w:rFonts w:ascii="Yu Mincho" w:hAnsi="Yu Mincho" w:eastAsia="Yu Mincho"/>
          <w:b w:val="0"/>
          <w:sz w:val="18"/>
        </w:rPr>
        <w:t>Phase 1とPhase 2は，閉鎖道路タイムラインを共有している点で接続している．一方で，Phase 1は経路の有無を確認する静的分析であり，Phase 2は車両走行を扱う動的分析である．そのため，到達不可人口と未到着車両数は単位が異なり，直接比較しない．</w:t>
      </w:r>
    </w:p>
    <w:p>
      <w:pPr>
        <w:ind w:firstLine="180"/>
      </w:pPr>
      <w:r>
        <w:rPr>
          <w:rFonts w:ascii="Yu Mincho" w:hAnsi="Yu Mincho" w:eastAsia="Yu Mincho"/>
          <w:b w:val="0"/>
          <w:sz w:val="18"/>
        </w:rPr>
        <w:t>現時点では，自家用車のみで避難した場合の基準シナリオを作成できた．今後はPhase 3として，デマンド交通バスを導入したシナリオを作成し，到着率，未到着台数，主要避難路の混雑，バス輸送人数を比較する．なお，他の避難支援手段との比較や出発時刻分散の感度分析は今後の課題である．</w:t>
      </w:r>
    </w:p>
    <w:p>
      <w:pPr>
        <w:pStyle w:val="1"/>
      </w:pPr>
      <w:r>
        <w:rPr>
          <w:rFonts w:ascii="Yu Mincho" w:hAnsi="Yu Mincho" w:eastAsia="Yu Mincho"/>
          <w:b/>
          <w:sz w:val="21"/>
        </w:rPr>
        <w:t>5. おわりに</w:t>
      </w:r>
    </w:p>
    <w:p>
      <w:pPr>
        <w:ind w:firstLine="180"/>
      </w:pPr>
      <w:r>
        <w:rPr>
          <w:rFonts w:ascii="Yu Mincho" w:hAnsi="Yu Mincho" w:eastAsia="Yu Mincho"/>
          <w:b w:val="0"/>
          <w:sz w:val="18"/>
        </w:rPr>
        <w:t>本研究では，2015年鬼怒川氾濫を事例に，浸水時の道路閉鎖を考慮した避難シミュレーションを構築した．Phase 1では到達不可人口を把握し，Phase 2では自家用車のみの交通流と混雑を確認した．これらの結果を，デマンド交通バス活用を検討するPhase 3の比較基準として用いる．</w:t>
      </w:r>
    </w:p>
    <w:p>
      <w:pPr>
        <w:ind w:firstLine="180"/>
      </w:pPr>
      <w:r>
        <w:rPr>
          <w:rFonts w:ascii="Yu Mincho" w:hAnsi="Yu Mincho" w:eastAsia="Yu Mincho"/>
          <w:b w:val="0"/>
          <w:sz w:val="18"/>
        </w:rPr>
        <w:t>参考文献</w:t>
      </w:r>
    </w:p>
    <w:p>
      <w:pPr>
        <w:ind w:firstLine="180"/>
      </w:pPr>
      <w:r>
        <w:rPr>
          <w:rFonts w:ascii="Yu Mincho" w:hAnsi="Yu Mincho" w:eastAsia="Yu Mincho"/>
          <w:b w:val="0"/>
          <w:sz w:val="18"/>
        </w:rPr>
        <w:t>[1] 国土地理院：平成27年9月関東・東北豪雨の情報，https://www.gsi.go.jp/BOUSAI/H27.taihuu18gou.html，閲覧日：2026年5月20日．</w:t>
      </w:r>
    </w:p>
    <w:p>
      <w:pPr>
        <w:ind w:firstLine="180"/>
      </w:pPr>
      <w:r>
        <w:rPr>
          <w:rFonts w:ascii="Yu Mincho" w:hAnsi="Yu Mincho" w:eastAsia="Yu Mincho"/>
          <w:b w:val="0"/>
          <w:sz w:val="18"/>
        </w:rPr>
        <w:t>[2] 国土交通省関東地方整備局下館河川事務所：鬼怒川緊急対策プロジェクト，https://www.ktr.mlit.go.jp/shimodate/shimodate00166.html，閲覧日：2026年5月20日．</w:t>
      </w:r>
    </w:p>
    <w:p>
      <w:pPr>
        <w:ind w:firstLine="180"/>
      </w:pPr>
      <w:r>
        <w:rPr>
          <w:rFonts w:ascii="Yu Mincho" w:hAnsi="Yu Mincho" w:eastAsia="Yu Mincho"/>
          <w:b w:val="0"/>
          <w:sz w:val="18"/>
        </w:rPr>
        <w:t>[3] Lopez, P. A. et al.: Microscopic Traffic Simulation using SUMO, 2018 21st International Conference on Intelligent Transportation Systems, pp.2575-2582, 2018.</w:t>
      </w:r>
    </w:p>
    <w:p>
      <w:pPr>
        <w:ind w:firstLine="180"/>
      </w:pPr>
      <w:r>
        <w:rPr>
          <w:rFonts w:ascii="Yu Mincho" w:hAnsi="Yu Mincho" w:eastAsia="Yu Mincho"/>
          <w:b w:val="0"/>
          <w:sz w:val="18"/>
        </w:rPr>
        <w:t>[4] Alvarez Lopez, P. et al.: Simulation of Urban Mobility (SUMO) (1.26.0), Zenodo, 2026. https://doi.org/10.5281/zenodo.13907886</w:t>
      </w:r>
    </w:p>
    <w:p>
      <w:pPr>
        <w:ind w:firstLine="180"/>
      </w:pPr>
      <w:r>
        <w:rPr>
          <w:rFonts w:ascii="Yu Mincho" w:hAnsi="Yu Mincho" w:eastAsia="Yu Mincho"/>
          <w:b w:val="0"/>
          <w:sz w:val="18"/>
        </w:rPr>
        <w:t>[5] 国土交通政策研究所：多様な地域公共交通サービスの導入状況に関する調査研究，https://www.mlit.go.jp/pri/houkoku/gaiyou/kkk147.html，閲覧日：2026年5月28日．</w:t>
      </w:r>
    </w:p>
    <w:p>
      <w:pPr>
        <w:ind w:firstLine="180"/>
      </w:pPr>
      <w:r>
        <w:rPr>
          <w:rFonts w:ascii="Yu Mincho" w:hAnsi="Yu Mincho" w:eastAsia="Yu Mincho"/>
          <w:b w:val="0"/>
          <w:sz w:val="18"/>
        </w:rPr>
        <w:t>[6] 政府広報オンライン：防災特集 ACTION02 発災時の行動，https://www.gov-online.go.jp/tokusyu/bousai/disaster.html，閲覧日：2026年5月28日．</w:t>
      </w:r>
    </w:p>
    <w:p>
      <w:pPr>
        <w:ind w:firstLine="180"/>
      </w:pPr>
      <w:r>
        <w:rPr>
          <w:rFonts w:ascii="Yu Mincho" w:hAnsi="Yu Mincho" w:eastAsia="Yu Mincho"/>
          <w:b w:val="0"/>
          <w:sz w:val="18"/>
        </w:rPr>
        <w:t>[7] 国土交通省：川の防災情報 解説「浸水深と避難行動」，https://city.river.go.jp/kawabou/reference/index05.html，閲覧日：2026年5月28日．</w:t>
      </w:r>
    </w:p>
    <w:p>
      <w:pPr>
        <w:ind w:firstLine="180"/>
      </w:pPr>
      <w:r>
        <w:rPr>
          <w:rFonts w:ascii="Yu Mincho" w:hAnsi="Yu Mincho" w:eastAsia="Yu Mincho"/>
          <w:b w:val="0"/>
          <w:sz w:val="18"/>
        </w:rPr>
        <w:t>[8] 国土交通省国土数値情報：浸水深コード，https://nlftp.mlit.go.jp/ksj/gml/codelist/WaterDepthCd.html，閲覧日：2026年5月28日．</w:t>
      </w:r>
    </w:p>
    <w:sectPr w:rsidR="00E00170" w:rsidRPr="00DC75E7" w:rsidSect="00A34A74">
      <w:type w:val="continuous"/>
      <w:pgSz w:w="11906" w:h="16838" w:code="9"/>
      <w:pgMar w:top="1134" w:right="850" w:bottom="850" w:left="850" w:header="794" w:footer="510"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41864A" w14:textId="77777777" w:rsidR="00F441E3" w:rsidRDefault="00F441E3">
      <w:r>
        <w:separator/>
      </w:r>
    </w:p>
  </w:endnote>
  <w:endnote w:type="continuationSeparator" w:id="0">
    <w:p w14:paraId="48F16D77" w14:textId="77777777" w:rsidR="00F441E3" w:rsidRDefault="00F44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76FCD2" w14:textId="33F4F063" w:rsidR="002C1364" w:rsidRPr="00B03755" w:rsidRDefault="00B47096" w:rsidP="00CC1236">
    <w:pPr>
      <w:pStyle w:val="a5"/>
      <w:jc w:val="right"/>
      <w:rPr>
        <w:rFonts w:ascii="ＭＳ ゴシック" w:eastAsia="ＭＳ ゴシック" w:hAnsi="ＭＳ ゴシック"/>
        <w:b/>
        <w:sz w:val="24"/>
        <w:szCs w:val="24"/>
      </w:rPr>
    </w:pPr>
    <w:r>
      <w:rPr>
        <w:rFonts w:hint="eastAsia"/>
        <w:noProof/>
      </w:rPr>
      <mc:AlternateContent>
        <mc:Choice Requires="wps">
          <w:drawing>
            <wp:anchor distT="0" distB="0" distL="114300" distR="114300" simplePos="0" relativeHeight="251658240" behindDoc="0" locked="0" layoutInCell="1" allowOverlap="1" wp14:anchorId="46F843BF" wp14:editId="3D4BCBBB">
              <wp:simplePos x="0" y="0"/>
              <wp:positionH relativeFrom="column">
                <wp:posOffset>-24765</wp:posOffset>
              </wp:positionH>
              <wp:positionV relativeFrom="paragraph">
                <wp:posOffset>-41910</wp:posOffset>
              </wp:positionV>
              <wp:extent cx="5534025" cy="417830"/>
              <wp:effectExtent l="13335" t="5715" r="624840" b="508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4025" cy="417830"/>
                      </a:xfrm>
                      <a:prstGeom prst="wedgeRoundRectCallout">
                        <a:avLst>
                          <a:gd name="adj1" fmla="val 60190"/>
                          <a:gd name="adj2" fmla="val 2431"/>
                          <a:gd name="adj3" fmla="val 16667"/>
                        </a:avLst>
                      </a:prstGeom>
                      <a:solidFill>
                        <a:srgbClr val="FFFFFF"/>
                      </a:solidFill>
                      <a:ln w="9525">
                        <a:solidFill>
                          <a:srgbClr val="FF0000"/>
                        </a:solidFill>
                        <a:miter lim="800000"/>
                        <a:headEnd/>
                        <a:tailEnd/>
                      </a:ln>
                    </wps:spPr>
                    <wps:txbx>
                      <w:txbxContent>
                        <w:p w14:paraId="5540D091" w14:textId="77777777" w:rsidR="00882459" w:rsidRPr="00C22865" w:rsidRDefault="00882459">
                          <w:pPr>
                            <w:rPr>
                              <w:color w:val="FF0000"/>
                            </w:rPr>
                          </w:pPr>
                          <w:r w:rsidRPr="00C22865">
                            <w:rPr>
                              <w:rFonts w:hint="eastAsia"/>
                              <w:color w:val="FF0000"/>
                            </w:rPr>
                            <w:t>発表番号。後日指定される。</w:t>
                          </w:r>
                          <w:r>
                            <w:rPr>
                              <w:rFonts w:hint="eastAsia"/>
                              <w:color w:val="FF0000"/>
                            </w:rPr>
                            <w:t>フッター</w:t>
                          </w:r>
                          <w:r w:rsidRPr="00C22865">
                            <w:rPr>
                              <w:rFonts w:hint="eastAsia"/>
                              <w:color w:val="FF0000"/>
                            </w:rPr>
                            <w:t>部に入力されているので、</w:t>
                          </w:r>
                          <w:r>
                            <w:rPr>
                              <w:rFonts w:hint="eastAsia"/>
                              <w:color w:val="FF0000"/>
                            </w:rPr>
                            <w:t>フッター</w:t>
                          </w:r>
                          <w:r w:rsidRPr="00C22865">
                            <w:rPr>
                              <w:rFonts w:hint="eastAsia"/>
                              <w:color w:val="FF0000"/>
                            </w:rPr>
                            <w:t>を編集すること。なお、この吹き出しは消すこと。</w:t>
                          </w:r>
                          <w:r w:rsidR="00A9730C">
                            <w:rPr>
                              <w:rFonts w:hint="eastAsia"/>
                              <w:color w:val="FF0000"/>
                            </w:rPr>
                            <w:t>ページ番号は不要。</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46F843B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2" o:spid="_x0000_s1027" type="#_x0000_t62" style="position:absolute;left:0;text-align:left;margin-left:-1.95pt;margin-top:-3.3pt;width:435.75pt;height:3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" adj="23801,11325" strokecolor="red">
              <v:textbox inset="5.85pt,.7pt,5.85pt,.7pt">
                <w:txbxContent>
                  <w:p w14:paraId="5540D091" w14:textId="77777777" w:rsidR="00882459" w:rsidRPr="00C22865" w:rsidRDefault="00882459">
                    <w:pPr>
                      <w:rPr>
                        <w:color w:val="FF0000"/>
                      </w:rPr>
                    </w:pPr>
                    <w:r w:rsidRPr="00C22865">
                      <w:rPr>
                        <w:rFonts w:hint="eastAsia"/>
                        <w:color w:val="FF0000"/>
                      </w:rPr>
                      <w:t>発表番号。後日指定される。</w:t>
                    </w:r>
                    <w:r>
                      <w:rPr>
                        <w:rFonts w:hint="eastAsia"/>
                        <w:color w:val="FF0000"/>
                      </w:rPr>
                      <w:t>フッター</w:t>
                    </w:r>
                    <w:r w:rsidRPr="00C22865">
                      <w:rPr>
                        <w:rFonts w:hint="eastAsia"/>
                        <w:color w:val="FF0000"/>
                      </w:rPr>
                      <w:t>部に入力されているので、</w:t>
                    </w:r>
                    <w:r>
                      <w:rPr>
                        <w:rFonts w:hint="eastAsia"/>
                        <w:color w:val="FF0000"/>
                      </w:rPr>
                      <w:t>フッター</w:t>
                    </w:r>
                    <w:r w:rsidRPr="00C22865">
                      <w:rPr>
                        <w:rFonts w:hint="eastAsia"/>
                        <w:color w:val="FF0000"/>
                      </w:rPr>
                      <w:t>を編集すること。なお、この吹き出しは消すこと。</w:t>
                    </w:r>
                    <w:r w:rsidR="00A9730C">
                      <w:rPr>
                        <w:rFonts w:hint="eastAsia"/>
                        <w:color w:val="FF0000"/>
                      </w:rPr>
                      <w:t>ページ番号は不要。</w:t>
                    </w:r>
                  </w:p>
                </w:txbxContent>
              </v:textbox>
            </v:shape>
          </w:pict>
        </mc:Fallback>
      </mc:AlternateContent>
    </w:r>
    <w:r w:rsidR="002C1364" w:rsidRPr="00B03755">
      <w:rPr>
        <w:rFonts w:ascii="ＭＳ ゴシック" w:eastAsia="ＭＳ ゴシック" w:hAnsi="ＭＳ ゴシック" w:hint="eastAsia"/>
        <w:b/>
        <w:sz w:val="24"/>
        <w:szCs w:val="24"/>
      </w:rPr>
      <w:t>X</w:t>
    </w:r>
    <w:r w:rsidR="002C1364" w:rsidRPr="00B03755">
      <w:rPr>
        <w:rFonts w:ascii="ＭＳ ゴシック" w:eastAsia="ＭＳ ゴシック" w:hAnsi="ＭＳ ゴシック"/>
        <w:b/>
        <w:sz w:val="24"/>
        <w:szCs w:val="24"/>
      </w:rPr>
      <w:t>-1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274E9" w14:textId="77777777" w:rsidR="00F441E3" w:rsidRDefault="00F441E3">
      <w:r>
        <w:separator/>
      </w:r>
    </w:p>
  </w:footnote>
  <w:footnote w:type="continuationSeparator" w:id="0">
    <w:p w14:paraId="6D6B37B3" w14:textId="77777777" w:rsidR="00F441E3" w:rsidRDefault="00F44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36C3E6" w14:textId="56B6E63F" w:rsidR="00A626C0" w:rsidRPr="00A34A74" w:rsidRDefault="00A34A74" w:rsidP="00A34A74">
    <w:pPr>
      <w:pStyle w:val="a3"/>
    </w:pPr>
    <w:r>
      <w:rPr>
        <w:rFonts w:hint="eastAsia"/>
        <w:noProof/>
      </w:rPr>
      <mc:AlternateContent>
        <mc:Choice Requires="wps">
          <w:drawing>
            <wp:anchor distT="0" distB="0" distL="114300" distR="114300" simplePos="0" relativeHeight="251657216" behindDoc="0" locked="0" layoutInCell="1" allowOverlap="1" wp14:anchorId="5F0E8247" wp14:editId="53D8C573">
              <wp:simplePos x="0" y="0"/>
              <wp:positionH relativeFrom="column">
                <wp:posOffset>738992</wp:posOffset>
              </wp:positionH>
              <wp:positionV relativeFrom="paragraph">
                <wp:posOffset>-348630</wp:posOffset>
              </wp:positionV>
              <wp:extent cx="4818587" cy="485775"/>
              <wp:effectExtent l="495300" t="0" r="20320" b="2857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8587" cy="485775"/>
                      </a:xfrm>
                      <a:prstGeom prst="wedgeRoundRectCallout">
                        <a:avLst>
                          <a:gd name="adj1" fmla="val -59269"/>
                          <a:gd name="adj2" fmla="val 44116"/>
                          <a:gd name="adj3" fmla="val 16667"/>
                        </a:avLst>
                      </a:prstGeom>
                      <a:solidFill>
                        <a:srgbClr val="FFFFFF"/>
                      </a:solidFill>
                      <a:ln w="9525">
                        <a:solidFill>
                          <a:srgbClr val="FF0000"/>
                        </a:solidFill>
                        <a:miter lim="800000"/>
                        <a:headEnd/>
                        <a:tailEnd/>
                      </a:ln>
                    </wps:spPr>
                    <wps:txbx>
                      <w:txbxContent>
                        <w:p w14:paraId="1FD39A81" w14:textId="77777777" w:rsidR="00C22865" w:rsidRPr="00C22865" w:rsidRDefault="00C22865">
                          <w:pPr>
                            <w:rPr>
                              <w:color w:val="FF0000"/>
                            </w:rPr>
                          </w:pPr>
                          <w:r w:rsidRPr="00C22865">
                            <w:rPr>
                              <w:rFonts w:hint="eastAsia"/>
                              <w:color w:val="FF0000"/>
                            </w:rPr>
                            <w:t>発表番号。後日指定される。ヘッダ</w:t>
                          </w:r>
                          <w:r w:rsidR="00882459">
                            <w:rPr>
                              <w:rFonts w:hint="eastAsia"/>
                              <w:color w:val="FF0000"/>
                            </w:rPr>
                            <w:t>ー</w:t>
                          </w:r>
                          <w:r w:rsidRPr="00C22865">
                            <w:rPr>
                              <w:rFonts w:hint="eastAsia"/>
                              <w:color w:val="FF0000"/>
                            </w:rPr>
                            <w:t>部に入力されているので、ヘッダ</w:t>
                          </w:r>
                          <w:r w:rsidR="00882459">
                            <w:rPr>
                              <w:rFonts w:hint="eastAsia"/>
                              <w:color w:val="FF0000"/>
                            </w:rPr>
                            <w:t>ー</w:t>
                          </w:r>
                          <w:r w:rsidRPr="00C22865">
                            <w:rPr>
                              <w:rFonts w:hint="eastAsia"/>
                              <w:color w:val="FF0000"/>
                            </w:rPr>
                            <w:t>を編集すること。なお、この吹き出しは消すこと。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5F0E824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 o:spid="_x0000_s1026" type="#_x0000_t62" style="position:absolute;left:0;text-align:left;margin-left:58.2pt;margin-top:-27.45pt;width:379.4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" adj="-2002,20329" strokecolor="red">
              <v:textbox inset="5.85pt,.7pt,5.85pt,.7pt">
                <w:txbxContent>
                  <w:p w14:paraId="1FD39A81" w14:textId="77777777" w:rsidR="00C22865" w:rsidRPr="00C22865" w:rsidRDefault="00C22865">
                    <w:pPr>
                      <w:rPr>
                        <w:color w:val="FF0000"/>
                      </w:rPr>
                    </w:pPr>
                    <w:r w:rsidRPr="00C22865">
                      <w:rPr>
                        <w:rFonts w:hint="eastAsia"/>
                        <w:color w:val="FF0000"/>
                      </w:rPr>
                      <w:t>発表番号。後日指定される。ヘッダ</w:t>
                    </w:r>
                    <w:r w:rsidR="00882459">
                      <w:rPr>
                        <w:rFonts w:hint="eastAsia"/>
                        <w:color w:val="FF0000"/>
                      </w:rPr>
                      <w:t>ー</w:t>
                    </w:r>
                    <w:r w:rsidRPr="00C22865">
                      <w:rPr>
                        <w:rFonts w:hint="eastAsia"/>
                        <w:color w:val="FF0000"/>
                      </w:rPr>
                      <w:t>部に入力されているので、ヘッダ</w:t>
                    </w:r>
                    <w:r w:rsidR="00882459">
                      <w:rPr>
                        <w:rFonts w:hint="eastAsia"/>
                        <w:color w:val="FF0000"/>
                      </w:rPr>
                      <w:t>ー</w:t>
                    </w:r>
                    <w:r w:rsidRPr="00C22865">
                      <w:rPr>
                        <w:rFonts w:hint="eastAsia"/>
                        <w:color w:val="FF0000"/>
                      </w:rPr>
                      <w:t>を編集すること。なお、この吹き出しは消すこと。</w:t>
                    </w:r>
                  </w:p>
                </w:txbxContent>
              </v:textbox>
            </v:shape>
          </w:pict>
        </mc:Fallback>
      </mc:AlternateContent>
    </w:r>
    <w:r w:rsidR="00A626C0" w:rsidRPr="00B03755">
      <w:rPr>
        <w:rFonts w:ascii="ＭＳ ゴシック" w:eastAsia="ＭＳ ゴシック" w:hAnsi="ＭＳ ゴシック" w:hint="eastAsia"/>
        <w:b/>
        <w:sz w:val="24"/>
        <w:szCs w:val="24"/>
      </w:rPr>
      <w:t>X</w:t>
    </w:r>
    <w:r w:rsidR="00A626C0" w:rsidRPr="00B03755">
      <w:rPr>
        <w:rFonts w:ascii="ＭＳ ゴシック" w:eastAsia="ＭＳ ゴシック" w:hAnsi="ＭＳ ゴシック"/>
        <w:b/>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3B4"/>
    <w:rsid w:val="0003054D"/>
    <w:rsid w:val="00055E64"/>
    <w:rsid w:val="000E2B94"/>
    <w:rsid w:val="000F76B5"/>
    <w:rsid w:val="00110C9F"/>
    <w:rsid w:val="00170CBF"/>
    <w:rsid w:val="001C5135"/>
    <w:rsid w:val="00236AFE"/>
    <w:rsid w:val="0024249B"/>
    <w:rsid w:val="0024704C"/>
    <w:rsid w:val="00290EE3"/>
    <w:rsid w:val="002C1364"/>
    <w:rsid w:val="002C5142"/>
    <w:rsid w:val="002E0964"/>
    <w:rsid w:val="002E79D5"/>
    <w:rsid w:val="00317803"/>
    <w:rsid w:val="0032088A"/>
    <w:rsid w:val="003234E8"/>
    <w:rsid w:val="00326F57"/>
    <w:rsid w:val="0035776B"/>
    <w:rsid w:val="00393275"/>
    <w:rsid w:val="00395858"/>
    <w:rsid w:val="003A64A2"/>
    <w:rsid w:val="003C3CF7"/>
    <w:rsid w:val="003F0126"/>
    <w:rsid w:val="004354B5"/>
    <w:rsid w:val="00445177"/>
    <w:rsid w:val="00451F4C"/>
    <w:rsid w:val="00481EBA"/>
    <w:rsid w:val="004A2CFC"/>
    <w:rsid w:val="004C75CC"/>
    <w:rsid w:val="004F1E50"/>
    <w:rsid w:val="005038A1"/>
    <w:rsid w:val="00503F7F"/>
    <w:rsid w:val="005154F0"/>
    <w:rsid w:val="00593574"/>
    <w:rsid w:val="005A3ED5"/>
    <w:rsid w:val="005D4856"/>
    <w:rsid w:val="005E3E8E"/>
    <w:rsid w:val="00613E6A"/>
    <w:rsid w:val="006179D7"/>
    <w:rsid w:val="00625100"/>
    <w:rsid w:val="00636481"/>
    <w:rsid w:val="00686586"/>
    <w:rsid w:val="006975FF"/>
    <w:rsid w:val="00701E01"/>
    <w:rsid w:val="00705E49"/>
    <w:rsid w:val="007356AA"/>
    <w:rsid w:val="00745667"/>
    <w:rsid w:val="007456F1"/>
    <w:rsid w:val="00757A88"/>
    <w:rsid w:val="00762100"/>
    <w:rsid w:val="00765215"/>
    <w:rsid w:val="007A40FA"/>
    <w:rsid w:val="007B53CD"/>
    <w:rsid w:val="0080550B"/>
    <w:rsid w:val="008134FC"/>
    <w:rsid w:val="0086577F"/>
    <w:rsid w:val="00875DBF"/>
    <w:rsid w:val="00882459"/>
    <w:rsid w:val="008A7DD4"/>
    <w:rsid w:val="008C5A96"/>
    <w:rsid w:val="008D6D6C"/>
    <w:rsid w:val="008E4054"/>
    <w:rsid w:val="008F5C6D"/>
    <w:rsid w:val="0092211C"/>
    <w:rsid w:val="00933987"/>
    <w:rsid w:val="009713B4"/>
    <w:rsid w:val="009C66BE"/>
    <w:rsid w:val="00A000A1"/>
    <w:rsid w:val="00A34A74"/>
    <w:rsid w:val="00A41777"/>
    <w:rsid w:val="00A626C0"/>
    <w:rsid w:val="00A733AD"/>
    <w:rsid w:val="00A92588"/>
    <w:rsid w:val="00A954FE"/>
    <w:rsid w:val="00A9730C"/>
    <w:rsid w:val="00B02355"/>
    <w:rsid w:val="00B03755"/>
    <w:rsid w:val="00B2179B"/>
    <w:rsid w:val="00B47096"/>
    <w:rsid w:val="00B63E7F"/>
    <w:rsid w:val="00B9732E"/>
    <w:rsid w:val="00BA14C8"/>
    <w:rsid w:val="00BA5240"/>
    <w:rsid w:val="00BA6B5A"/>
    <w:rsid w:val="00BB713E"/>
    <w:rsid w:val="00BC370C"/>
    <w:rsid w:val="00BD3105"/>
    <w:rsid w:val="00BD369D"/>
    <w:rsid w:val="00BE236B"/>
    <w:rsid w:val="00BE3907"/>
    <w:rsid w:val="00BE7B4D"/>
    <w:rsid w:val="00C22865"/>
    <w:rsid w:val="00C312A0"/>
    <w:rsid w:val="00C40F8C"/>
    <w:rsid w:val="00C6318C"/>
    <w:rsid w:val="00C712F6"/>
    <w:rsid w:val="00C94B64"/>
    <w:rsid w:val="00C952A5"/>
    <w:rsid w:val="00CB3369"/>
    <w:rsid w:val="00CB5A4E"/>
    <w:rsid w:val="00CC1236"/>
    <w:rsid w:val="00CC4047"/>
    <w:rsid w:val="00CD461C"/>
    <w:rsid w:val="00D02E7F"/>
    <w:rsid w:val="00D53D19"/>
    <w:rsid w:val="00D90DB1"/>
    <w:rsid w:val="00DC75E7"/>
    <w:rsid w:val="00DD65BE"/>
    <w:rsid w:val="00DD6C63"/>
    <w:rsid w:val="00DF1A5B"/>
    <w:rsid w:val="00E00170"/>
    <w:rsid w:val="00E652C4"/>
    <w:rsid w:val="00E777CF"/>
    <w:rsid w:val="00E8566D"/>
    <w:rsid w:val="00EA78E5"/>
    <w:rsid w:val="00ED2C4D"/>
    <w:rsid w:val="00F02A64"/>
    <w:rsid w:val="00F25794"/>
    <w:rsid w:val="00F37AF7"/>
    <w:rsid w:val="00F441E3"/>
    <w:rsid w:val="00F55089"/>
    <w:rsid w:val="00F60066"/>
    <w:rsid w:val="00F719A2"/>
    <w:rsid w:val="00F77091"/>
    <w:rsid w:val="00F91D6F"/>
    <w:rsid w:val="00F972EF"/>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240" w:lineRule="auto" w:after="40"/>
      <w:jc w:val="both"/>
    </w:pPr>
    <w:rPr>
      <w:rFonts w:ascii="Yu Mincho" w:hAnsi="Yu Mincho" w:eastAsia="Yu Mincho"/>
      <w:kern w:val="2"/>
      <w:sz w:val="18"/>
      <w:szCs w:val="22"/>
    </w:rPr>
  </w:style>
  <w:style w:type="paragraph" w:styleId="1">
    <w:name w:val="heading 1"/>
    <w:basedOn w:val="a"/>
    <w:next w:val="a"/>
    <w:qFormat/>
    <w:rsid w:val="00C6318C"/>
    <w:pPr>
      <w:keepNext/>
      <w:numPr>
        <w:numId w:val="1"/>
      </w:numPr>
      <w:spacing w:before="100" w:after="40"/>
      <w:outlineLvl w:val="0"/>
    </w:pPr>
    <w:rPr>
      <w:rFonts w:ascii="Yu Gothic" w:eastAsia="Yu Gothic" w:hAnsi="Yu Gothic"/>
      <w:b/>
      <w:sz w:val="21"/>
      <w:szCs w:val="24"/>
    </w:rPr>
  </w:style>
  <w:style w:type="paragraph" w:styleId="2">
    <w:name w:val="heading 2"/>
    <w:basedOn w:val="a"/>
    <w:next w:val="a"/>
    <w:qFormat/>
    <w:pPr>
      <w:keepNext/>
      <w:numPr>
        <w:ilvl w:val="1"/>
        <w:numId w:val="1"/>
      </w:numPr>
      <w:spacing w:before="100" w:after="40"/>
      <w:outlineLvl w:val="1"/>
    </w:pPr>
    <w:rPr>
      <w:rFonts w:ascii="Yu Gothic" w:eastAsia="Yu Gothic" w:hAnsi="Yu Gothic"/>
      <w:b/>
      <w:sz w:val="19"/>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 w:val="18"/>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145</Words>
  <Characters>832</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タイトル「まちづくりにおけるソーシャル・ネットワーキング・サービス(SNS)の活用に関する研究」</vt:lpstr>
      <vt:lpstr>タイトル「まちづくりにおけるソーシャル・ネットワーキング・サービス(SNS)の活用に関する研究」</vt:lpstr>
    </vt:vector>
  </TitlesOfParts>
  <Company>Microsoft</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mizutani-usb</cp:lastModifiedBy>
  <cp:revision>9</cp:revision>
  <dcterms:created xsi:type="dcterms:W3CDTF">2019-06-10T07:17:00Z</dcterms:created>
  <dcterms:modified xsi:type="dcterms:W3CDTF">2020-12-21T00:58:00Z</dcterms:modified>
</cp:coreProperties>
</file>