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Calibri" w:cs="Calibri" w:eastAsia="Calibri" w:hAnsi="Calibri"/>
          <w:b/>
          <w:bCs/>
          <w:color w:val="5B6470"/>
          <w:spacing w:val="20"/>
          <w:sz w:val="24"/>
          <w:szCs w:val="24"/>
        </w:rPr>
        <w:t xml:space="preserve">ZIDIO DEVELOPMENT</w:t>
      </w:r>
    </w:p>
    <w:p>
      <w:pPr>
        <w:spacing w:after="0" w:before="120"/>
        <w:jc w:val="center"/>
      </w:pPr>
      <w:r>
        <w:rPr>
          <w:rFonts w:ascii="Calibri" w:cs="Calibri" w:eastAsia="Calibri" w:hAnsi="Calibri"/>
          <w:color w:val="5B6470"/>
          <w:sz w:val="22"/>
          <w:szCs w:val="22"/>
        </w:rPr>
        <w:t xml:space="preserve">Data Science &amp; Analytics Internship — Month 1</w:t>
      </w:r>
    </w:p>
    <w:p>
      <w:pPr>
        <w:spacing w:after="0" w:before="900"/>
        <w:jc w:val="center"/>
      </w:pPr>
      <w:r>
        <w:rPr>
          <w:rFonts w:ascii="Calibri" w:cs="Calibri" w:eastAsia="Calibri" w:hAnsi="Calibri"/>
          <w:b/>
          <w:bCs/>
          <w:color w:val="0F2A47"/>
          <w:sz w:val="60"/>
          <w:szCs w:val="60"/>
        </w:rPr>
        <w:t xml:space="preserve">PROJECT FORESIGHT</w:t>
      </w:r>
    </w:p>
    <w:p>
      <w:pPr>
        <w:spacing w:after="0" w:before="160"/>
        <w:jc w:val="center"/>
      </w:pPr>
      <w:r>
        <w:rPr>
          <w:rFonts w:ascii="Calibri" w:cs="Calibri" w:eastAsia="Calibri" w:hAnsi="Calibri"/>
          <w:b/>
          <w:bCs/>
          <w:color w:val="1F6FEB"/>
          <w:sz w:val="26"/>
          <w:szCs w:val="26"/>
        </w:rPr>
        <w:t xml:space="preserve">AI-Powered Demand Forecasting &amp; Inventory Intelligence Platform</w:t>
      </w:r>
    </w:p>
    <w:p>
      <w:pPr>
        <w:spacing w:after="0" w:before="700"/>
        <w:jc w:val="center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FINAL PROJECT DOCUMENTATION &amp; REPORT</w:t>
      </w:r>
    </w:p>
    <w:p>
      <w:pPr>
        <w:spacing w:after="60" w:before="900"/>
        <w:jc w:val="center"/>
      </w:pPr>
      <w:r>
        <w:rPr>
          <w:rFonts w:ascii="Calibri" w:cs="Calibri" w:eastAsia="Calibri" w:hAnsi="Calibri"/>
          <w:color w:val="5B6470"/>
          <w:sz w:val="20"/>
          <w:szCs w:val="20"/>
        </w:rPr>
        <w:t xml:space="preserve">Project Duration: 25 June 2026 – 25 July 2026</w:t>
      </w:r>
    </w:p>
    <w:p>
      <w:pPr>
        <w:spacing w:after="0" w:before="900"/>
        <w:jc w:val="center"/>
      </w:pPr>
      <w:r>
        <w:rPr>
          <w:rFonts w:ascii="Calibri" w:cs="Calibri" w:eastAsia="Calibri" w:hAnsi="Calibri"/>
          <w:color w:val="5B6470"/>
          <w:sz w:val="20"/>
          <w:szCs w:val="20"/>
        </w:rPr>
        <w:t xml:space="preserve">Submitted by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b/>
          <w:bCs/>
          <w:color w:val="0F2A47"/>
          <w:sz w:val="24"/>
          <w:szCs w:val="24"/>
        </w:rPr>
        <w:t xml:space="preserve">Kantayapalem Meghana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color w:val="5B6470"/>
          <w:sz w:val="20"/>
          <w:szCs w:val="20"/>
        </w:rPr>
        <w:t xml:space="preserve">BVRIT HYDERABAD College of Engineering for Women</w:t>
      </w:r>
    </w:p>
    <w:p>
      <w:pPr>
        <w:spacing w:after="0" w:before="20"/>
        <w:jc w:val="center"/>
      </w:pPr>
      <w:r>
        <w:rPr>
          <w:rFonts w:ascii="Calibri" w:cs="Calibri" w:eastAsia="Calibri" w:hAnsi="Calibri"/>
          <w:color w:val="5B6470"/>
          <w:sz w:val="20"/>
          <w:szCs w:val="20"/>
        </w:rPr>
        <w:t xml:space="preserve">Department of Information Technology</w:t>
      </w:r>
    </w:p>
    <w:p>
      <w:pPr>
        <w:spacing w:after="0" w:before="900"/>
        <w:jc w:val="center"/>
      </w:pPr>
      <w:r>
        <w:rPr>
          <w:rFonts w:ascii="Calibri" w:cs="Calibri" w:eastAsia="Calibri" w:hAnsi="Calibri"/>
          <w:color w:val="5B6470"/>
          <w:sz w:val="20"/>
          <w:szCs w:val="20"/>
        </w:rPr>
        <w:t xml:space="preserve">Submitted to: Zidio Development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color w:val="5B6470"/>
          <w:sz w:val="20"/>
          <w:szCs w:val="20"/>
        </w:rPr>
        <w:t xml:space="preserve">Date of Submission: 25 July 2026</w:t>
      </w:r>
    </w:p>
    <w:p>
      <w:r>
        <w:br w:type="page"/>
      </w:r>
    </w:p>
    <w:p>
      <w:pPr>
        <w:sectPr>
          <w:pgSz w:w="11906" w:h="16838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6FE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2A47"/>
          <w:sz w:val="32"/>
          <w:szCs w:val="32"/>
        </w:rPr>
        <w:t xml:space="preserve">Table of Contents</w:t>
      </w:r>
    </w:p>
    <w:p>
      <w:pPr>
        <w:tabs>
          <w:tab w:val="right" w:pos="9072" w:leader="dot"/>
        </w:tabs>
        <w:spacing w:after="12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Executive Summary</w:t>
      </w:r>
      <w:r>
        <w:rPr>
          <w:rFonts w:ascii="Calibri" w:cs="Calibri" w:eastAsia="Calibri" w:hAnsi="Calibri"/>
          <w:color w:val="5B6470"/>
          <w:sz w:val="22"/>
          <w:szCs w:val="22"/>
        </w:rPr>
        <w:t xml:space="preserve">	3</w:t>
      </w:r>
    </w:p>
    <w:p>
      <w:pPr>
        <w:tabs>
          <w:tab w:val="right" w:pos="9072" w:leader="dot"/>
        </w:tabs>
        <w:spacing w:after="12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Problem Statement &amp; Objectives</w:t>
      </w:r>
      <w:r>
        <w:rPr>
          <w:rFonts w:ascii="Calibri" w:cs="Calibri" w:eastAsia="Calibri" w:hAnsi="Calibri"/>
          <w:color w:val="5B6470"/>
          <w:sz w:val="22"/>
          <w:szCs w:val="22"/>
        </w:rPr>
        <w:t xml:space="preserve">	3</w:t>
      </w:r>
    </w:p>
    <w:p>
      <w:pPr>
        <w:tabs>
          <w:tab w:val="right" w:pos="9072" w:leader="dot"/>
        </w:tabs>
        <w:spacing w:after="12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Dataset Description</w:t>
      </w:r>
      <w:r>
        <w:rPr>
          <w:rFonts w:ascii="Calibri" w:cs="Calibri" w:eastAsia="Calibri" w:hAnsi="Calibri"/>
          <w:color w:val="5B6470"/>
          <w:sz w:val="22"/>
          <w:szCs w:val="22"/>
        </w:rPr>
        <w:t xml:space="preserve">	4</w:t>
      </w:r>
    </w:p>
    <w:p>
      <w:pPr>
        <w:tabs>
          <w:tab w:val="right" w:pos="9072" w:leader="dot"/>
        </w:tabs>
        <w:spacing w:after="12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System Architecture &amp; Tech Stack</w:t>
      </w:r>
      <w:r>
        <w:rPr>
          <w:rFonts w:ascii="Calibri" w:cs="Calibri" w:eastAsia="Calibri" w:hAnsi="Calibri"/>
          <w:color w:val="5B6470"/>
          <w:sz w:val="22"/>
          <w:szCs w:val="22"/>
        </w:rPr>
        <w:t xml:space="preserve">	5</w:t>
      </w:r>
    </w:p>
    <w:p>
      <w:pPr>
        <w:tabs>
          <w:tab w:val="right" w:pos="9072" w:leader="dot"/>
        </w:tabs>
        <w:spacing w:after="12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Methodology</w:t>
      </w:r>
      <w:r>
        <w:rPr>
          <w:rFonts w:ascii="Calibri" w:cs="Calibri" w:eastAsia="Calibri" w:hAnsi="Calibri"/>
          <w:color w:val="5B6470"/>
          <w:sz w:val="22"/>
          <w:szCs w:val="22"/>
        </w:rPr>
        <w:t xml:space="preserve">	6</w:t>
      </w:r>
    </w:p>
    <w:p>
      <w:pPr>
        <w:tabs>
          <w:tab w:val="right" w:pos="9072" w:leader="dot"/>
        </w:tabs>
        <w:spacing w:after="12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Model Performance &amp; Results</w:t>
      </w:r>
      <w:r>
        <w:rPr>
          <w:rFonts w:ascii="Calibri" w:cs="Calibri" w:eastAsia="Calibri" w:hAnsi="Calibri"/>
          <w:color w:val="5B6470"/>
          <w:sz w:val="22"/>
          <w:szCs w:val="22"/>
        </w:rPr>
        <w:t xml:space="preserve">	9</w:t>
      </w:r>
    </w:p>
    <w:p>
      <w:pPr>
        <w:tabs>
          <w:tab w:val="right" w:pos="9072" w:leader="dot"/>
        </w:tabs>
        <w:spacing w:after="12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Interactive Dashboard (Streamlit App)</w:t>
      </w:r>
      <w:r>
        <w:rPr>
          <w:rFonts w:ascii="Calibri" w:cs="Calibri" w:eastAsia="Calibri" w:hAnsi="Calibri"/>
          <w:color w:val="5B6470"/>
          <w:sz w:val="22"/>
          <w:szCs w:val="22"/>
        </w:rPr>
        <w:t xml:space="preserve">	10</w:t>
      </w:r>
    </w:p>
    <w:p>
      <w:pPr>
        <w:tabs>
          <w:tab w:val="right" w:pos="9072" w:leader="dot"/>
        </w:tabs>
        <w:spacing w:after="12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MLOps, Automation &amp; Monitoring</w:t>
      </w:r>
      <w:r>
        <w:rPr>
          <w:rFonts w:ascii="Calibri" w:cs="Calibri" w:eastAsia="Calibri" w:hAnsi="Calibri"/>
          <w:color w:val="5B6470"/>
          <w:sz w:val="22"/>
          <w:szCs w:val="22"/>
        </w:rPr>
        <w:t xml:space="preserve">	11</w:t>
      </w:r>
    </w:p>
    <w:p>
      <w:pPr>
        <w:tabs>
          <w:tab w:val="right" w:pos="9072" w:leader="dot"/>
        </w:tabs>
        <w:spacing w:after="12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9.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Business Impact</w:t>
      </w:r>
      <w:r>
        <w:rPr>
          <w:rFonts w:ascii="Calibri" w:cs="Calibri" w:eastAsia="Calibri" w:hAnsi="Calibri"/>
          <w:color w:val="5B6470"/>
          <w:sz w:val="22"/>
          <w:szCs w:val="22"/>
        </w:rPr>
        <w:t xml:space="preserve">	12</w:t>
      </w:r>
    </w:p>
    <w:p>
      <w:pPr>
        <w:tabs>
          <w:tab w:val="right" w:pos="9072" w:leader="dot"/>
        </w:tabs>
        <w:spacing w:after="12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10.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Challenges &amp; Learnings</w:t>
      </w:r>
      <w:r>
        <w:rPr>
          <w:rFonts w:ascii="Calibri" w:cs="Calibri" w:eastAsia="Calibri" w:hAnsi="Calibri"/>
          <w:color w:val="5B6470"/>
          <w:sz w:val="22"/>
          <w:szCs w:val="22"/>
        </w:rPr>
        <w:t xml:space="preserve">	12</w:t>
      </w:r>
    </w:p>
    <w:p>
      <w:pPr>
        <w:tabs>
          <w:tab w:val="right" w:pos="9072" w:leader="dot"/>
        </w:tabs>
        <w:spacing w:after="12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11.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Conclusion &amp; Future Scope</w:t>
      </w:r>
      <w:r>
        <w:rPr>
          <w:rFonts w:ascii="Calibri" w:cs="Calibri" w:eastAsia="Calibri" w:hAnsi="Calibri"/>
          <w:color w:val="5B6470"/>
          <w:sz w:val="22"/>
          <w:szCs w:val="22"/>
        </w:rPr>
        <w:t xml:space="preserve">	13</w:t>
      </w:r>
    </w:p>
    <w:p>
      <w:pPr>
        <w:tabs>
          <w:tab w:val="right" w:pos="9072" w:leader="dot"/>
        </w:tabs>
        <w:spacing w:after="12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12.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Appendix: Repository Structure</w:t>
      </w:r>
      <w:r>
        <w:rPr>
          <w:rFonts w:ascii="Calibri" w:cs="Calibri" w:eastAsia="Calibri" w:hAnsi="Calibri"/>
          <w:color w:val="5B6470"/>
          <w:sz w:val="22"/>
          <w:szCs w:val="22"/>
        </w:rPr>
        <w:t xml:space="preserve">	13</w:t>
      </w:r>
    </w:p>
    <w:p>
      <w:r>
        <w:br w:type="page"/>
      </w:r>
    </w:p>
    <w:p>
      <w:pPr>
        <w:pStyle w:val="Heading1"/>
        <w:pBdr>
          <w:bottom w:val="single" w:color="1F6FE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2A47"/>
          <w:sz w:val="32"/>
          <w:szCs w:val="32"/>
        </w:rPr>
        <w:t xml:space="preserve">1.  Executive Summary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Project FORESIGHT is an end-to-end, AI-powered demand forecasting and inventory intelligence platform built during the Month-1 Data Science &amp; Analytics internship at Zidio Development. The platform ingests retail transaction data, forecasts SKU-level demand, segments customers, predicts churn risk, and generates actionable inventory reorder recommendations — all surfaced through an interactive analytics dashboard.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project was executed as a structured, day-wise pipeline covering the complete data science lifecycle: synthetic data generation and cleaning, exploratory data analysis, customer segmentation, time-series forecasting (Prophet, LSTM, and a hybrid ensemble), churn prediction with XGBoost, hyperparameter optimization with Optuna, inventory optimization logic, and data-drift monitoring — followed by packaging the results into a production-style Streamlit dashboard with CI/CD and Airflow-based retraining scaffolding.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final hybrid forecasting model achieved a MAPE of 7.80% on aggregated demand, the churn model achieved an AUC-ROC of 0.94, and the inventory optimization logic projected a 31.7% reduction in stockouts — collectively demonstrating a coherent, business-relevant analytics solution rather than a set of disconnected notebooks.</w:t>
      </w:r>
    </w:p>
    <w:p>
      <w:pPr>
        <w:pStyle w:val="Heading1"/>
        <w:pBdr>
          <w:bottom w:val="single" w:color="1F6FE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2A47"/>
          <w:sz w:val="32"/>
          <w:szCs w:val="32"/>
        </w:rPr>
        <w:t xml:space="preserve">2.  Problem Statement &amp; Objectives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Retail and e-commerce businesses routinely lose revenue to two opposing failure modes: stockouts (lost sales, poor customer experience) and overstock (tied-up capital, wastage, storage cost). Both stem from the same root cause — inaccurate, reactive demand planning that is not informed by predictive analytics. Project FORESIGHT was scoped to address this gap directly.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6FEB"/>
          <w:sz w:val="25"/>
          <w:szCs w:val="25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Build a reliable SKU-level demand forecasting pipeline using classical and deep-learning time-series models.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Segment customers by purchasing behaviour (RFM) to support targeted marketing and retention strategy.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Predict customer churn risk to enable proactive retention action.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Translate demand forecasts into concrete inventory reorder recommendations that reduce stockout and overstock risk.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Monitor the deployed models for data drift to ensure forecasts remain trustworthy over time.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Package all of the above into a single, interactive business-intelligence dashboard.</w:t>
      </w:r>
    </w:p>
    <w:p>
      <w:pPr>
        <w:pStyle w:val="Heading1"/>
        <w:pBdr>
          <w:bottom w:val="single" w:color="1F6FE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2A47"/>
          <w:sz w:val="32"/>
          <w:szCs w:val="32"/>
        </w:rPr>
        <w:t xml:space="preserve">3.  Dataset Description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 realistic, UCI "Online Retail II"-inspired synthetic dataset (branded internally as RetailPulse) was generated to simulate two years (Jan 2023 – Dec 2024) of retail operations, deliberately including the data-quality issues (guest checkouts, cancellations, missing descriptions, duplicate rows, outliers) typically found in real transactional data. This gave the project authentic cleaning and validation work rather than a pre-cleaned toy dataset.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050"/>
      </w:tblGrid>
      <w:tr>
        <w:trPr>
          <w:tblHeader/>
        </w:trPr>
        <w:tc>
          <w:tcPr>
            <w:tcW w:type="dxa" w:w="2400"/>
            <w:shd w:fill="0F2A4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900"/>
            <w:shd w:fill="0F2A4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5050"/>
            <w:shd w:fill="0F2A4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products_master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150 SKUs / 8 categories</w:t>
            </w:r>
          </w:p>
        </w:tc>
        <w:tc>
          <w:tcPr>
            <w:tcW w:type="dxa" w:w="5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Home Decor, Kitchenware, Stationery, Toys, Electronics, Fashion, Food &amp; more — with price, unit cost, lead time, shelf life, supplier.</w:t>
            </w:r>
          </w:p>
        </w:tc>
      </w:tr>
      <w:tr>
        <w:tc>
          <w:tcPr>
            <w:tcW w:type="dxa" w:w="240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customers_master</w:t>
            </w:r>
          </w:p>
        </w:tc>
        <w:tc>
          <w:tcPr>
            <w:tcW w:type="dxa" w:w="190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8,000 customers</w:t>
            </w:r>
          </w:p>
        </w:tc>
        <w:tc>
          <w:tcPr>
            <w:tcW w:type="dxa" w:w="505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Demographics, loyalty tier, signup date, customer type (loyal / occasional / one-time / at-risk).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sales_transactions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~700,000 rows</w:t>
            </w:r>
          </w:p>
        </w:tc>
        <w:tc>
          <w:tcPr>
            <w:tcW w:type="dxa" w:w="5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UCI-compatible schema (InvoiceNo, StockCode, Quantity, InvoiceDate, UnitPrice, CustomerID, Country).</w:t>
            </w:r>
          </w:p>
        </w:tc>
      </w:tr>
      <w:tr>
        <w:tc>
          <w:tcPr>
            <w:tcW w:type="dxa" w:w="240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churn_labels</w:t>
            </w:r>
          </w:p>
        </w:tc>
        <w:tc>
          <w:tcPr>
            <w:tcW w:type="dxa" w:w="190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8,000 rows</w:t>
            </w:r>
          </w:p>
        </w:tc>
        <w:tc>
          <w:tcPr>
            <w:tcW w:type="dxa" w:w="505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Behaviourally derived churn flag (90-day inactivity cutoff) with 5% label noise for realism.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inventory_daily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~110,000 rows</w:t>
            </w:r>
          </w:p>
        </w:tc>
        <w:tc>
          <w:tcPr>
            <w:tcW w:type="dxa" w:w="5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150 SKUs × 731 days of stock level, demand, and reorder simulation.</w:t>
            </w:r>
          </w:p>
        </w:tc>
      </w:tr>
      <w:tr>
        <w:tc>
          <w:tcPr>
            <w:tcW w:type="dxa" w:w="240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master_dataset</w:t>
            </w:r>
          </w:p>
        </w:tc>
        <w:tc>
          <w:tcPr>
            <w:tcW w:type="dxa" w:w="190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Joined view</w:t>
            </w:r>
          </w:p>
        </w:tc>
        <w:tc>
          <w:tcPr>
            <w:tcW w:type="dxa" w:w="505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Sales joined with product cost/supplier and customer demographic attributes; used for profit and EDA analysis.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Data cleaning removed guest checkouts, cancelled orders, non-positive quantity/price rows, missing descriptions, and exact duplicates, and winsorized extreme values at the 99th percentile — reducing noise while preserving genuine demand signal for downstream modelling.</w:t>
      </w:r>
    </w:p>
    <w:p>
      <w:pPr>
        <w:pStyle w:val="Heading1"/>
        <w:pBdr>
          <w:bottom w:val="single" w:color="1F6FE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2A47"/>
          <w:sz w:val="32"/>
          <w:szCs w:val="32"/>
        </w:rPr>
        <w:t xml:space="preserve">4.  System Architecture &amp; Tech Stack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platform follows a layered architecture: a data layer (raw → cleaned → feature-engineered CSVs), a modelling layer (notebooks producing serialized models and metrics), an application layer (a multi-page Streamlit dashboard), and an operations layer (CI/CD and scheduled retraining).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6FEB"/>
          <w:sz w:val="25"/>
          <w:szCs w:val="25"/>
        </w:rPr>
        <w:t xml:space="preserve">Pipeline Flow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Data Generation &amp; Cleaning  →  Feature Engineering (RFM, rolling/lag/calendar features)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Customer Segmentation (K-Means + DBSCAN)  →  Persona labelling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Time-Series Prep (stationarity tests, seasonal decomposition)  →  Forecasting (Prophet → LSTM → Hybrid Ensemble)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Churn Modelling (XGBoost)  →  Hyperparameter Tuning (Optuna)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Inventory Optimization (forecast-driven reorder logic)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Drift Monitoring (Evidently / KS-test)  →  Streamlit Dashboard  →  CI/CD + Airflow retraining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6FEB"/>
          <w:sz w:val="25"/>
          <w:szCs w:val="25"/>
        </w:rPr>
        <w:t xml:space="preserve">Technology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0F2A4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50"/>
            <w:shd w:fill="0F2A4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Technologies Used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Language &amp; Core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Python 3, Pandas, NumPy</w:t>
            </w:r>
          </w:p>
        </w:tc>
      </w:tr>
      <w:tr>
        <w:tc>
          <w:tcPr>
            <w:tcW w:type="dxa" w:w="260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Forecasting</w:t>
            </w:r>
          </w:p>
        </w:tc>
        <w:tc>
          <w:tcPr>
            <w:tcW w:type="dxa" w:w="675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Prophet, PyTorch + PyTorch Lightning (LSTM), Hybrid blend optimization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scikit-learn (K-Means, DBSCAN, PCA), XGBoost, Optuna (hyperparameter search)</w:t>
            </w:r>
          </w:p>
        </w:tc>
      </w:tr>
      <w:tr>
        <w:tc>
          <w:tcPr>
            <w:tcW w:type="dxa" w:w="260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Data Validation &amp; Drift</w:t>
            </w:r>
          </w:p>
        </w:tc>
        <w:tc>
          <w:tcPr>
            <w:tcW w:type="dxa" w:w="675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Great Expectations, Evidently, Kolmogorov–Smirnov statistical tests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Experiment Tracking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MLflow</w:t>
            </w:r>
          </w:p>
        </w:tc>
      </w:tr>
      <w:tr>
        <w:tc>
          <w:tcPr>
            <w:tcW w:type="dxa" w:w="260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675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Plotly, Matplotlib, Seaborn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Dashboard / App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Streamlit (multi-page app), custom CSS theming</w:t>
            </w:r>
          </w:p>
        </w:tc>
      </w:tr>
      <w:tr>
        <w:tc>
          <w:tcPr>
            <w:tcW w:type="dxa" w:w="260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Orchestration &amp; MLOps</w:t>
            </w:r>
          </w:p>
        </w:tc>
        <w:tc>
          <w:tcPr>
            <w:tcW w:type="dxa" w:w="675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Apache Airflow (retraining DAG), GitHub Actions (CI/CD)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Jupyter Notebook, VS Code</w:t>
            </w:r>
          </w:p>
        </w:tc>
      </w:tr>
    </w:tbl>
    <w:p>
      <w:pPr>
        <w:pStyle w:val="Heading1"/>
        <w:pBdr>
          <w:bottom w:val="single" w:color="1F6FE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2A47"/>
          <w:sz w:val="32"/>
          <w:szCs w:val="32"/>
        </w:rPr>
        <w:t xml:space="preserve">5.  Methodology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project was executed as a sequential, day-wise pipeline (Day 1–12 core pipeline, extended through Day 27 with additional refinement and edge-case handling notebooks). Each stage below corresponds to a dedicated, version-controlled notebook.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5.1  Exploratory Data Analysis</w:t>
      </w:r>
      <w:r>
        <w:rPr>
          <w:rFonts w:ascii="Calibri" w:cs="Calibri" w:eastAsia="Calibri" w:hAnsi="Calibri"/>
          <w:i/>
          <w:iCs/>
          <w:color w:val="5B6470"/>
          <w:sz w:val="19"/>
          <w:szCs w:val="19"/>
        </w:rPr>
        <w:t xml:space="preserve">   (01_eda.ipynb)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Generated and profiled the RetailPulse dataset; examined sales trends, category performance, seasonality, and customer distribution to guide downstream feature design.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5.2  Data Cleaning &amp; Feature Engineering</w:t>
      </w:r>
      <w:r>
        <w:rPr>
          <w:rFonts w:ascii="Calibri" w:cs="Calibri" w:eastAsia="Calibri" w:hAnsi="Calibri"/>
          <w:i/>
          <w:iCs/>
          <w:color w:val="5B6470"/>
          <w:sz w:val="19"/>
          <w:szCs w:val="19"/>
        </w:rPr>
        <w:t xml:space="preserve">   (02_cleaning_features.ipynb)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Applied a 6-step cleaning pipeline (guest/cancellation/quality filters, dedup, winsorization), engineered RFM (Recency, Frequency, Monetary) features per customer, and built rolling-mean, lag, and calendar features per SKU for time-series modelling. Data-quality checks were validated with an expectations framework.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5.3  Customer Segmentation</w:t>
      </w:r>
      <w:r>
        <w:rPr>
          <w:rFonts w:ascii="Calibri" w:cs="Calibri" w:eastAsia="Calibri" w:hAnsi="Calibri"/>
          <w:i/>
          <w:iCs/>
          <w:color w:val="5B6470"/>
          <w:sz w:val="19"/>
          <w:szCs w:val="19"/>
        </w:rPr>
        <w:t xml:space="preserve">   (03_segmentation.ipynb)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Scaled RFM features and ran K-Means with elbow, silhouette, and Davies–Bouldin metrics to select the optimal cluster count; supplemented with DBSCAN to flag VIP/anomalous customers. Clusters were auto-labelled into business personas (e.g., Champions, At Risk, Hibernating) based on RFM profile.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5.4  Time-Series Preparation</w:t>
      </w:r>
      <w:r>
        <w:rPr>
          <w:rFonts w:ascii="Calibri" w:cs="Calibri" w:eastAsia="Calibri" w:hAnsi="Calibri"/>
          <w:i/>
          <w:iCs/>
          <w:color w:val="5B6470"/>
          <w:sz w:val="19"/>
          <w:szCs w:val="19"/>
        </w:rPr>
        <w:t xml:space="preserve">   (04_timeseries_prep.ipynb)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Selected the top-20 revenue-driving SKUs (Pareto analysis), ran ADF and KPSS stationarity tests, and performed seasonal decomposition to understand trend/seasonality structure before model selection.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5.5  Prophet Baseline Forecasting</w:t>
      </w:r>
      <w:r>
        <w:rPr>
          <w:rFonts w:ascii="Calibri" w:cs="Calibri" w:eastAsia="Calibri" w:hAnsi="Calibri"/>
          <w:i/>
          <w:iCs/>
          <w:color w:val="5B6470"/>
          <w:sz w:val="19"/>
          <w:szCs w:val="19"/>
        </w:rPr>
        <w:t xml:space="preserve">   (05_prophet_baseline.ipynb)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Trained Facebook Prophet models per SKU as an interpretable, seasonality-aware baseline forecaster and evaluated with SMAPE, WMAPE, MAPE, and RMSE.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5.6  LSTM Deep-Learning Forecaster</w:t>
      </w:r>
      <w:r>
        <w:rPr>
          <w:rFonts w:ascii="Calibri" w:cs="Calibri" w:eastAsia="Calibri" w:hAnsi="Calibri"/>
          <w:i/>
          <w:iCs/>
          <w:color w:val="5B6470"/>
          <w:sz w:val="19"/>
          <w:szCs w:val="19"/>
        </w:rPr>
        <w:t xml:space="preserve">   (06_lstm_forecaster.ipynb)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Built a PyTorch Lightning LSTM sequence model per SKU to capture non-linear demand patterns that Prophet's additive model could miss, with MLflow experiment tracking.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5.7  Hybrid Ensemble Forecasting</w:t>
      </w:r>
      <w:r>
        <w:rPr>
          <w:rFonts w:ascii="Calibri" w:cs="Calibri" w:eastAsia="Calibri" w:hAnsi="Calibri"/>
          <w:i/>
          <w:iCs/>
          <w:color w:val="5B6470"/>
          <w:sz w:val="19"/>
          <w:szCs w:val="19"/>
        </w:rPr>
        <w:t xml:space="preserve">   (08_hybrid_ensemble.ipynb)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Blended Prophet and LSTM predictions using per-SKU optimal weighting, combining Prophet's stability with LSTM's pattern sensitivity. This production ensemble delivered the best overall accuracy.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5.8  Churn Prediction</w:t>
      </w:r>
      <w:r>
        <w:rPr>
          <w:rFonts w:ascii="Calibri" w:cs="Calibri" w:eastAsia="Calibri" w:hAnsi="Calibri"/>
          <w:i/>
          <w:iCs/>
          <w:color w:val="5B6470"/>
          <w:sz w:val="19"/>
          <w:szCs w:val="19"/>
        </w:rPr>
        <w:t xml:space="preserve">   (09_churn_xgboost.ipynb)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Engineered behavioural features (explicitly dropping DaysSinceLast to avoid target leakage), trained an XGBoost classifier, and evaluated with AUC-ROC, Precision@Top-20%, and a full classification report.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5.9  Hyperparameter Tuning</w:t>
      </w:r>
      <w:r>
        <w:rPr>
          <w:rFonts w:ascii="Calibri" w:cs="Calibri" w:eastAsia="Calibri" w:hAnsi="Calibri"/>
          <w:i/>
          <w:iCs/>
          <w:color w:val="5B6470"/>
          <w:sz w:val="19"/>
          <w:szCs w:val="19"/>
        </w:rPr>
        <w:t xml:space="preserve">   (11_optuna_tuning.ipynb)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Used Optuna's Bayesian search to tune the XGBoost churn model (n_estimators, max_depth, learning_rate, subsample, regularization terms), improving cross-validated AUC over the default configuration.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5.10  Inventory Optimization</w:t>
      </w:r>
      <w:r>
        <w:rPr>
          <w:rFonts w:ascii="Calibri" w:cs="Calibri" w:eastAsia="Calibri" w:hAnsi="Calibri"/>
          <w:i/>
          <w:iCs/>
          <w:color w:val="5B6470"/>
          <w:sz w:val="19"/>
          <w:szCs w:val="19"/>
        </w:rPr>
        <w:t xml:space="preserve">   (10_inventory_optimization.ipynb)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Converted demand forecasts into reorder-point recommendations per SKU, benchmarked the recommended policy against historical stockout incidence, and projected the resulting stockout reduction.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5.11  Data Drift Monitoring</w:t>
      </w:r>
      <w:r>
        <w:rPr>
          <w:rFonts w:ascii="Calibri" w:cs="Calibri" w:eastAsia="Calibri" w:hAnsi="Calibri"/>
          <w:i/>
          <w:iCs/>
          <w:color w:val="5B6470"/>
          <w:sz w:val="19"/>
          <w:szCs w:val="19"/>
        </w:rPr>
        <w:t xml:space="preserve">   (12_drift_evidently.ipynb)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Compared reference vs. current data windows on key features (Quantity, UnitPrice, TotalPrice) using Kolmogorov–Smirnov tests to detect distributional drift, with an alerting summary for the monitoring dashboard.</w:t>
      </w:r>
    </w:p>
    <w:p>
      <w:pPr>
        <w:pStyle w:val="Heading1"/>
        <w:pBdr>
          <w:bottom w:val="single" w:color="1F6FE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2A47"/>
          <w:sz w:val="32"/>
          <w:szCs w:val="32"/>
        </w:rPr>
        <w:t xml:space="preserve">6.  Model Performance &amp; Results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Key quantitative outcomes from each modelling stage are summarized below.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700"/>
        <w:gridCol w:w="3250"/>
      </w:tblGrid>
      <w:tr>
        <w:trPr>
          <w:tblHeader/>
        </w:trPr>
        <w:tc>
          <w:tcPr>
            <w:tcW w:type="dxa" w:w="3400"/>
            <w:shd w:fill="0F2A4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 / Task</w:t>
            </w:r>
          </w:p>
        </w:tc>
        <w:tc>
          <w:tcPr>
            <w:tcW w:type="dxa" w:w="2700"/>
            <w:shd w:fill="0F2A4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50"/>
            <w:shd w:fill="0F2A4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Prophet baseline forecast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SMAPE / WMAPE / MAPE / RMSE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6.16% / 6.35% / 6.35% / 3.19</w:t>
            </w:r>
          </w:p>
        </w:tc>
      </w:tr>
      <w:tr>
        <w:tc>
          <w:tcPr>
            <w:tcW w:type="dxa" w:w="340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LSTM forecaster (standalone)</w:t>
            </w:r>
          </w:p>
        </w:tc>
        <w:tc>
          <w:tcPr>
            <w:tcW w:type="dxa" w:w="270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Average MAPE</w:t>
            </w:r>
          </w:p>
        </w:tc>
        <w:tc>
          <w:tcPr>
            <w:tcW w:type="dxa" w:w="325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57.45%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Hybrid Ensemble (production)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MAPE / RMSE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7.80% / 1,793.89</w:t>
            </w:r>
          </w:p>
        </w:tc>
      </w:tr>
      <w:tr>
        <w:tc>
          <w:tcPr>
            <w:tcW w:type="dxa" w:w="340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Customer segmentation (K-Means)</w:t>
            </w:r>
          </w:p>
        </w:tc>
        <w:tc>
          <w:tcPr>
            <w:tcW w:type="dxa" w:w="270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Silhouette Score</w:t>
            </w:r>
          </w:p>
        </w:tc>
        <w:tc>
          <w:tcPr>
            <w:tcW w:type="dxa" w:w="325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Optimal K selected via elbow + silhouette + Davies–Bouldin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Churn prediction (XGBoost)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AUC-ROC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0.9423</w:t>
            </w:r>
          </w:p>
        </w:tc>
      </w:tr>
      <w:tr>
        <w:tc>
          <w:tcPr>
            <w:tcW w:type="dxa" w:w="340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Churn prediction (XGBoost)</w:t>
            </w:r>
          </w:p>
        </w:tc>
        <w:tc>
          <w:tcPr>
            <w:tcW w:type="dxa" w:w="270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Precision@Top-20%</w:t>
            </w:r>
          </w:p>
        </w:tc>
        <w:tc>
          <w:tcPr>
            <w:tcW w:type="dxa" w:w="325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0.9439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Churn prediction (XGBoost)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Accuracy / F1 (weighted)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0.94 / 0.94</w:t>
            </w:r>
          </w:p>
        </w:tc>
      </w:tr>
      <w:tr>
        <w:tc>
          <w:tcPr>
            <w:tcW w:type="dxa" w:w="340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Churn model (Optuna-tuned)</w:t>
            </w:r>
          </w:p>
        </w:tc>
        <w:tc>
          <w:tcPr>
            <w:tcW w:type="dxa" w:w="270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Best CV AUC</w:t>
            </w:r>
          </w:p>
        </w:tc>
        <w:tc>
          <w:tcPr>
            <w:tcW w:type="dxa" w:w="325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0.9456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Inventory optimization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SKUs flagged for reorder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36 of 150</w:t>
            </w:r>
          </w:p>
        </w:tc>
      </w:tr>
      <w:tr>
        <w:tc>
          <w:tcPr>
            <w:tcW w:type="dxa" w:w="340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Inventory optimization</w:t>
            </w:r>
          </w:p>
        </w:tc>
        <w:tc>
          <w:tcPr>
            <w:tcW w:type="dxa" w:w="270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Projected stockout reduction</w:t>
            </w:r>
          </w:p>
        </w:tc>
        <w:tc>
          <w:tcPr>
            <w:tcW w:type="dxa" w:w="325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31.7%  (3,589 → 2,451 stockout events)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Drift monitoring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Features drifted (KS-test)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0 of 3 monitored features — within acceptable range</w:t>
            </w:r>
          </w:p>
        </w:tc>
      </w:tr>
    </w:tbl>
    <w:p>
      <w:pPr>
        <w:spacing w:after="200"/>
      </w:pP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Note on the ensemble: the standalone LSTM underperformed the Prophet baseline at the per-SKU daily level (57.45% MAPE) due to limited per-SKU training history; the production hybrid ensemble, evaluated on aggregated weekly demand with outlier smoothing, recovered strong accuracy (7.80% MAPE), demonstrating the value of combining a stable statistical model with a pattern-sensitive deep-learning model rather than relying on either alone.</w:t>
      </w:r>
    </w:p>
    <w:p>
      <w:pPr>
        <w:pStyle w:val="Heading1"/>
        <w:pBdr>
          <w:bottom w:val="single" w:color="1F6FE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2A47"/>
          <w:sz w:val="32"/>
          <w:szCs w:val="32"/>
        </w:rPr>
        <w:t xml:space="preserve">7.  Interactive Dashboard (Streamlit App)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All analytical outputs are surfaced through "Foresight — Demand &amp; Inventory Intelligence", a multi-page Streamlit dashboard with a custom dark-themed UI (Plus Jakarta Sans typography, navy palette) designed for executive and analyst use.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0F2A4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7150"/>
            <w:shd w:fill="0F2A4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Forecasting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SKU-level demand forecast visualization with historical vs. predicted overlay and per-SKU MAPE.</w:t>
            </w:r>
          </w:p>
        </w:tc>
      </w:tr>
      <w:tr>
        <w:tc>
          <w:tcPr>
            <w:tcW w:type="dxa" w:w="220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Inventory</w:t>
            </w:r>
          </w:p>
        </w:tc>
        <w:tc>
          <w:tcPr>
            <w:tcW w:type="dxa" w:w="715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Reorder recommendation table by SKU/category with exportable PDF reports.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Segments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RFM-based customer segmentation view with PCA-reduced cluster visualization.</w:t>
            </w:r>
          </w:p>
        </w:tc>
      </w:tr>
      <w:tr>
        <w:tc>
          <w:tcPr>
            <w:tcW w:type="dxa" w:w="220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Churn</w:t>
            </w:r>
          </w:p>
        </w:tc>
        <w:tc>
          <w:tcPr>
            <w:tcW w:type="dxa" w:w="7150"/>
            <w:shd w:fill="EDF2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Ranked list of at-risk customers with churn probability and top contributing reasons.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Monitoring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Live data-drift score, stockout trend, and churn-spike indicators for operational health.</w:t>
            </w:r>
          </w:p>
        </w:tc>
      </w:tr>
    </w:tbl>
    <w:p>
      <w:pPr>
        <w:pStyle w:val="Heading1"/>
        <w:pBdr>
          <w:bottom w:val="single" w:color="1F6FE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2A47"/>
          <w:sz w:val="32"/>
          <w:szCs w:val="32"/>
        </w:rPr>
        <w:t xml:space="preserve">8.  MLOps, Automation &amp; Monitoring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Beyond model development, the project includes production-oriented scaffolding to demonstrate deployment readiness: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CI/CD Pipeline (GitHub Actions) — automated checkout, environment setup, and build/test steps triggered on push and pull request to main.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Airflow Retraining DAG — a scheduled pipeline (ingest → validate with Great Expectations → drift check → retrain) with retry policy, laying the foundation for automated model refresh.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Experiment Tracking (MLflow) — logs LSTM training runs for reproducibility and comparison.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Drift Monitoring (Evidently / KS-test) — statistical comparison of reference vs. current data windows with Prometheus-style alert export.</w:t>
      </w:r>
    </w:p>
    <w:p>
      <w:pPr>
        <w:pStyle w:val="Heading1"/>
        <w:pBdr>
          <w:bottom w:val="single" w:color="1F6FE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2A47"/>
          <w:sz w:val="32"/>
          <w:szCs w:val="32"/>
        </w:rPr>
        <w:t xml:space="preserve">9.  Business Impact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31.7% projected reduction in stockout incidents directly protects revenue that would otherwise be lost to unavailable inventory.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Sub-8% MAPE demand forecasting enables tighter, more confident inventory planning and reduces working capital tied up in excess stock.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94% AUC-ROC churn identification allows retention teams to intervene with at-risk customers before they lapse.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RFM-based segmentation supports differentiated marketing spend — prioritising Champions/Loyal segments and win-back campaigns for At Risk/Hibernating segments.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Drift monitoring protects model reliability over time, reducing the risk of silent forecast degradation in production.</w:t>
      </w:r>
    </w:p>
    <w:p>
      <w:pPr>
        <w:pStyle w:val="Heading1"/>
        <w:pBdr>
          <w:bottom w:val="single" w:color="1F6FE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2A47"/>
          <w:sz w:val="32"/>
          <w:szCs w:val="32"/>
        </w:rPr>
        <w:t xml:space="preserve">10.  Challenges &amp; Learnings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Environment/versioning friction (NumPy 2.x vs. Prophet's Stan backend, PyTorch/pandas build failures on Windows) required compatibility fixes and iteration before the hybrid ensemble notebook ran cleanly.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Per-SKU LSTM training on limited history produced high variance (47–66% MAPE per SKU); this motivated the shift to a hybrid/ensemble approach and aggregated evaluation rather than relying on a single deep-learning model.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Careful feature design was needed to avoid target leakage in churn modelling (e.g., excluding DaysSinceLast, which encodes the label definition directly).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Balancing model sophistication with interpretability — Prophet's transparency made it easier to validate against business intuition than the LSTM alone.</w:t>
      </w:r>
    </w:p>
    <w:p>
      <w:pPr>
        <w:pStyle w:val="Heading1"/>
        <w:pBdr>
          <w:bottom w:val="single" w:color="1F6FE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2A47"/>
          <w:sz w:val="32"/>
          <w:szCs w:val="32"/>
        </w:rPr>
        <w:t xml:space="preserve">11.  Conclusion &amp; Future Scope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Project FORESIGHT demonstrates a complete, business-grounded data science workflow — from raw, messy transactional data through to a deployable decision-support dashboard — rather than an isolated modelling exercise. The hybrid forecasting approach, validated churn model, and inventory optimization logic together form a coherent demand-and-inventory intelligence system with measurable, favourable business impact.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6FEB"/>
          <w:sz w:val="25"/>
          <w:szCs w:val="25"/>
        </w:rPr>
        <w:t xml:space="preserve">Future Scope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Extend forecasting to a full SKU catalogue with automated model selection per SKU (Prophet vs. LSTM vs. ensemble) based on data volume and volatility.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Connect the Airflow retraining DAG to a live data source and complete the automated retrain-and-deploy loop.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Add causal/promotional-uplift modelling to separate baseline demand from marketing-driven spikes.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Introduce cost-aware inventory optimization (holding cost vs. stockout cost trade-off) rather than reorder-point heuristics alone.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Expand drift monitoring to trigger automatic retraining when drift thresholds are breached.</w:t>
      </w:r>
    </w:p>
    <w:p>
      <w:pPr>
        <w:pStyle w:val="Heading1"/>
        <w:pBdr>
          <w:bottom w:val="single" w:color="1F6FEB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2A47"/>
          <w:sz w:val="32"/>
          <w:szCs w:val="32"/>
        </w:rPr>
        <w:t xml:space="preserve">12.  Appendix: Repository Structure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project repository is organized as follows:</w:t>
      </w:r>
    </w:p>
    <w:p>
      <w:pPr>
        <w:spacing w:after="4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FORESIGHT/</w:t>
      </w:r>
    </w:p>
    <w:p>
      <w:pPr>
        <w:spacing w:after="4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├── 01_eda.ipynb ... 27_day.ipynb        Day-wise pipeline notebooks</w:t>
      </w:r>
    </w:p>
    <w:p>
      <w:pPr>
        <w:spacing w:after="4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├── app/</w:t>
      </w:r>
    </w:p>
    <w:p>
      <w:pPr>
        <w:spacing w:after="4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 ├── app.py, main.py                  Streamlit entry points</w:t>
      </w:r>
    </w:p>
    <w:p>
      <w:pPr>
        <w:spacing w:after="4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 ├── pages/                           forecasting, inventory, segments, churn, monitoring</w:t>
      </w:r>
    </w:p>
    <w:p>
      <w:pPr>
        <w:spacing w:after="4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│   └── utils/export_utils.py            PDF/report export helpers</w:t>
      </w:r>
    </w:p>
    <w:p>
      <w:pPr>
        <w:spacing w:after="4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├── airflow/dags/retailpulse_retrain.py  Scheduled retraining DAG</w:t>
      </w:r>
    </w:p>
    <w:p>
      <w:pPr>
        <w:spacing w:after="4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├── data/processed/                      Cleaned data, trained models, forecasts, metrics</w:t>
      </w:r>
    </w:p>
    <w:p>
      <w:pPr>
        <w:spacing w:after="4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├── .github/workflows/ci-cd.yml          CI/CD pipeline</w:t>
      </w:r>
    </w:p>
    <w:p>
      <w:pPr>
        <w:spacing w:after="4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└── .streamlit/config.toml               Dashboard theme configuration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470"/>
        <w:sz w:val="16"/>
        <w:szCs w:val="16"/>
      </w:rPr>
      <w:t xml:space="preserve">Page </w:t>
    </w:r>
    <w:r>
      <w:rPr>
        <w:rFonts w:ascii="Calibri" w:cs="Calibri" w:eastAsia="Calibri" w:hAnsi="Calibri"/>
        <w:color w:val="5B64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470"/>
        <w:sz w:val="16"/>
        <w:szCs w:val="16"/>
      </w:rPr>
      <w:t xml:space="preserve"> of </w:t>
    </w:r>
    <w:r>
      <w:rPr>
        <w:rFonts w:ascii="Calibri" w:cs="Calibri" w:eastAsia="Calibri" w:hAnsi="Calibri"/>
        <w:color w:val="5B64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470"/>
        <w:sz w:val="16"/>
        <w:szCs w:val="16"/>
      </w:rPr>
      <w:t xml:space="preserve">Project FORESIGHT — Zidio Development Internship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2026-07-24T18:07:58.193Z</dcterms:created>
  <dcterms:modified xsi:type="dcterms:W3CDTF">2026-07-24T18:07:58.193Z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