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A3A6E"/>
          <w:sz w:val="72"/>
        </w:rPr>
        <w:t>出海法盾 CrossGuard</w:t>
      </w:r>
    </w:p>
    <w:p>
      <w:pPr>
        <w:jc w:val="center"/>
      </w:pPr>
      <w:r>
        <w:rPr>
          <w:rFonts w:ascii="黑体" w:hAnsi="黑体" w:eastAsia="黑体"/>
          <w:color w:val="4A6A8E"/>
          <w:sz w:val="40"/>
        </w:rPr>
        <w:t>跨境电商智能合规审查平台</w:t>
      </w:r>
    </w:p>
    <w:p/>
    <w:p>
      <w:pPr>
        <w:jc w:val="center"/>
      </w:pPr>
      <w:r>
        <w:rPr>
          <w:rFonts w:ascii="黑体" w:hAnsi="黑体" w:eastAsia="黑体"/>
          <w:b/>
          <w:color w:val="1A3A6E"/>
          <w:sz w:val="56"/>
        </w:rPr>
        <w:t>商 业 计 划 书</w:t>
      </w:r>
    </w:p>
    <w:p/>
    <w:p/>
    <w:p/>
    <w:p/>
    <w:p>
      <w:pPr>
        <w:jc w:val="center"/>
      </w:pPr>
      <w:r>
        <w:rPr>
          <w:color w:val="666666"/>
          <w:sz w:val="28"/>
        </w:rPr>
        <w:t>项目版本：v0.2.0</w:t>
      </w:r>
    </w:p>
    <w:p>
      <w:pPr>
        <w:jc w:val="center"/>
      </w:pPr>
      <w:r>
        <w:rPr>
          <w:color w:val="666666"/>
          <w:sz w:val="28"/>
        </w:rPr>
        <w:t>编制日期：2026年4月</w:t>
      </w:r>
    </w:p>
    <w:p>
      <w:pPr>
        <w:jc w:val="center"/>
      </w:pPr>
      <w:r>
        <w:rPr>
          <w:color w:val="666666"/>
          <w:sz w:val="28"/>
        </w:rPr>
        <w:t>密级：机密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  <w:sz w:val="24"/>
        </w:rPr>
        <w:t>一、执行摘要</w:t>
      </w:r>
    </w:p>
    <w:p>
      <w:r>
        <w:rPr>
          <w:b/>
          <w:sz w:val="24"/>
        </w:rPr>
        <w:t>二、项目背景与市场分析</w:t>
      </w:r>
    </w:p>
    <w:p>
      <w:r>
        <w:rPr>
          <w:sz w:val="24"/>
        </w:rPr>
        <w:t xml:space="preserve">  2.1 行业背景</w:t>
      </w:r>
    </w:p>
    <w:p>
      <w:r>
        <w:rPr>
          <w:sz w:val="24"/>
        </w:rPr>
        <w:t xml:space="preserve">  2.2 市场规模</w:t>
      </w:r>
    </w:p>
    <w:p>
      <w:r>
        <w:rPr>
          <w:sz w:val="24"/>
        </w:rPr>
        <w:t xml:space="preserve">  2.3 竞争分析</w:t>
      </w:r>
    </w:p>
    <w:p>
      <w:r>
        <w:rPr>
          <w:sz w:val="24"/>
        </w:rPr>
        <w:t xml:space="preserve">  2.4 目标客户</w:t>
      </w:r>
    </w:p>
    <w:p>
      <w:r>
        <w:rPr>
          <w:b/>
          <w:sz w:val="24"/>
        </w:rPr>
        <w:t>三、产品与技术</w:t>
      </w:r>
    </w:p>
    <w:p>
      <w:r>
        <w:rPr>
          <w:sz w:val="24"/>
        </w:rPr>
        <w:t xml:space="preserve">  3.1 产品定位</w:t>
      </w:r>
    </w:p>
    <w:p>
      <w:r>
        <w:rPr>
          <w:sz w:val="24"/>
        </w:rPr>
        <w:t xml:space="preserve">  3.2 核心功能</w:t>
      </w:r>
    </w:p>
    <w:p>
      <w:r>
        <w:rPr>
          <w:sz w:val="24"/>
        </w:rPr>
        <w:t xml:space="preserve">  3.3 技术架构</w:t>
      </w:r>
    </w:p>
    <w:p>
      <w:r>
        <w:rPr>
          <w:sz w:val="24"/>
        </w:rPr>
        <w:t xml:space="preserve">  3.4 技术壁垒与护城河</w:t>
      </w:r>
    </w:p>
    <w:p>
      <w:r>
        <w:rPr>
          <w:sz w:val="24"/>
        </w:rPr>
        <w:t xml:space="preserve">  3.5 产品路线图</w:t>
      </w:r>
    </w:p>
    <w:p>
      <w:r>
        <w:rPr>
          <w:b/>
          <w:sz w:val="24"/>
        </w:rPr>
        <w:t>四、商业模式</w:t>
      </w:r>
    </w:p>
    <w:p>
      <w:r>
        <w:rPr>
          <w:sz w:val="24"/>
        </w:rPr>
        <w:t xml:space="preserve">  4.1 盈利模式</w:t>
      </w:r>
    </w:p>
    <w:p>
      <w:r>
        <w:rPr>
          <w:sz w:val="24"/>
        </w:rPr>
        <w:t xml:space="preserve">  4.2 定价策略</w:t>
      </w:r>
    </w:p>
    <w:p>
      <w:r>
        <w:rPr>
          <w:sz w:val="24"/>
        </w:rPr>
        <w:t xml:space="preserve">  4.3 单位经济模型</w:t>
      </w:r>
    </w:p>
    <w:p>
      <w:r>
        <w:rPr>
          <w:b/>
          <w:sz w:val="24"/>
        </w:rPr>
        <w:t>五、运营与增长策略</w:t>
      </w:r>
    </w:p>
    <w:p>
      <w:r>
        <w:rPr>
          <w:sz w:val="24"/>
        </w:rPr>
        <w:t xml:space="preserve">  5.1 获客策略</w:t>
      </w:r>
    </w:p>
    <w:p>
      <w:r>
        <w:rPr>
          <w:sz w:val="24"/>
        </w:rPr>
        <w:t xml:space="preserve">  5.2 增长飞轮</w:t>
      </w:r>
    </w:p>
    <w:p>
      <w:r>
        <w:rPr>
          <w:sz w:val="24"/>
        </w:rPr>
        <w:t xml:space="preserve">  5.3 合作生态</w:t>
      </w:r>
    </w:p>
    <w:p>
      <w:r>
        <w:rPr>
          <w:b/>
          <w:sz w:val="24"/>
        </w:rPr>
        <w:t>六、团队与组织</w:t>
      </w:r>
    </w:p>
    <w:p>
      <w:r>
        <w:rPr>
          <w:b/>
          <w:sz w:val="24"/>
        </w:rPr>
        <w:t>七、财务预测</w:t>
      </w:r>
    </w:p>
    <w:p>
      <w:r>
        <w:rPr>
          <w:b/>
          <w:sz w:val="24"/>
        </w:rPr>
        <w:t>八、风险分析与应对</w:t>
      </w:r>
    </w:p>
    <w:p>
      <w:r>
        <w:rPr>
          <w:b/>
          <w:sz w:val="24"/>
        </w:rPr>
        <w:t>九、社会价值</w:t>
      </w:r>
    </w:p>
    <w:p>
      <w:r>
        <w:rPr>
          <w:b/>
          <w:sz w:val="24"/>
        </w:rPr>
        <w:t>十、附录</w:t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出海法盾（CrossGuard）是面向跨境电商卖家的智能合规审查SaaS平台，致力于解决中国出海电商在多国市场下面临的法规合规痛点。平台采用"两级检测流水线"架构——关键词快速初筛 + AI语义深度复筛，能够自动识别产品描述中的医疗宣称、绝对化用语、虚假广告、缺失标签、禁用成分、隐含违规等6类违规内容，秒级生成合规报告并提供修改建议和合规版本。</w:t>
      </w:r>
    </w:p>
    <w:p>
      <w:r>
        <w:rPr>
          <w:rFonts w:ascii="宋体" w:hAnsi="宋体" w:eastAsia="宋体"/>
          <w:b/>
          <w:sz w:val="24"/>
        </w:rPr>
        <w:t>核心创新点：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（1）两级检测流水线：关键词确定性初筛（高召回）+ LLM语义复筛（低误报），兼顾速度与精度；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（2）数据飞轮：用户反馈（误报/漏报标记）→ 统计分析 → 规则优化建议 → 人工审核 → 规则更新 → 精度提升，形成越用越准的正向循环；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（3）平台对接闭环：Amazon SP-API / Shopee Open API 自动拉取Listing → 合规检测 → 高风险告警 → 合规版本回写，从"工具"升级为"平台"；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（4）5市场覆盖：欧盟、美国、新加坡、泰国、马来西亚，涵盖欧盟EC 1223/2009、美国FD&amp;C Act、东盟ACD等主流法规体系。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市场机会：中国跨境电商出口额2025年预计突破2.5万亿元，其中东南亚市场增速超25%。因产品描述违规导致的下架、罚款、诉讼每年造成数十亿元损失，合规审查已成为出海电商的刚需。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商业模式：SaaS订阅制（免费版/专业版/企业版/定制版四档定价），辅以API调用计费和合规培训增值服务。预计第3年实现盈亏平衡，第5年ARR突破5000万元。</w:t>
      </w:r>
    </w:p>
    <w:p>
      <w:pPr>
        <w:pStyle w:val="Heading1"/>
      </w:pPr>
      <w:r>
        <w:t>二、项目背景与市场分析</w:t>
      </w:r>
    </w:p>
    <w:p>
      <w:pPr>
        <w:pStyle w:val="Heading2"/>
      </w:pPr>
      <w:r>
        <w:t>2.1 行业背景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跨境电商正处于从"野蛮生长"向"合规经营"转型的关键期。近年来，各国监管机构对电商产品描述合规的执法力度显著加强：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1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2023年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欧盟CPNP通报召回超2000款化妆品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违规产品强制下架+品牌声誉损失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2023年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美国FTC对虚假广告开出$500K罚单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单次罚款可达百万美元级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2024年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FDA对膳食补充剂发出47封警告信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产品强制下架+进口禁令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2024年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新加坡HSA加强电商化妆品监管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东南亚执法趋严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2025年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东盟ACD统一化妆品监管框架生效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合规门槛提高但规则趋同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核心痛点：出海卖家同时面对5个以上目标市场、数十个产品类别、数百条法规条款，人工审查一条产品描述需30-60分钟且极易遗漏，而违规成本极高（下架损失+罚款+诉讼费+品牌损伤）。</w:t>
      </w:r>
    </w:p>
    <w:p>
      <w:pPr>
        <w:pStyle w:val="Heading2"/>
      </w:pPr>
      <w:r>
        <w:t>2.2 市场规模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2025年规模(估算)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年增长率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合规审查需求特征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中国跨境电商出口总额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2.5万亿元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合规是出海刚需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跨境电商SaaS市场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350亿元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工具化渗透率快速提升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合规审查细分市场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30亿元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AI合规审查处于早期爆发阶段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东南亚电商市场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1.2万亿元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增速最快，合规意识觉醒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TAM/SAM/SOM分析：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TAM（总可寻址市场）：中国跨境电商卖家合规审查相关支出 ≈ 30亿元/年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SAM（可服务市场）：采用SaaS工具进行合规审查的卖家支出 ≈ 8亿元/年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SOM（可获得市场）：CrossGuard前3年可触达的市场份额 ≈ 1.2亿元/年</w:t>
      </w:r>
    </w:p>
    <w:p>
      <w:pPr>
        <w:pStyle w:val="Heading2"/>
      </w:pPr>
      <w:r>
        <w:t>2.3 竞争分析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CrossGuard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传统律所/法务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Compliance.ai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卖家自查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检测速度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秒级/条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小时-天级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分钟级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30-60分钟/条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覆盖市场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5大市场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1-2个市场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2-3个市场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1个市场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AI语义检测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两级流水线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人工判断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规则引擎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数据飞轮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反馈→优化→提升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平台对接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Amazon/Shopee API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部分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成本/条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¥0.1-1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¥50-200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¥2-5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¥10-30(人力)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合规版本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自动生成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人工改写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人工改写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竞争优势总结：CrossGuard的核心壁垒不在于LLM调用（这是商品化能力），而在于三层独占资产的叠加：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（1）法规知识库：5市场×多类别的禁用词库、法规数据、替换映射、违规案例，需持续专业维护；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（2）用户反馈数据：数据飞轮积累的误报/漏报标注数据，是优化规则精度的唯一来源，竞对无法复制；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（3）平台API集成：与Amazon/Shopee的深度对接，形成使用粘性和迁移成本。</w:t>
      </w:r>
    </w:p>
    <w:p>
      <w:pPr>
        <w:pStyle w:val="Heading2"/>
      </w:pPr>
      <w:r>
        <w:t>2.4 目标客户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客户画像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规模估算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付费意愿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获客渠道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中小卖家(年GMV&lt;5000万)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50万+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快速检测+合规版本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¥99-299/月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社群/内容/平台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大卖/品牌卖家(年GMV&gt;5000万)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5万+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批量检测+巡检+API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¥999-4999/月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直销/渠道合作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电商服务商/代运营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1万+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白标API+客户管理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¥4999+/月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BD合作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合规/法务机构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5000+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辅助审查+报告导出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¥999/月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行业会议/推荐</w:t>
            </w:r>
          </w:p>
        </w:tc>
      </w:tr>
    </w:tbl>
    <w:p/>
    <w:p>
      <w:pPr>
        <w:pStyle w:val="Heading1"/>
      </w:pPr>
      <w:r>
        <w:t>三、产品与技术</w:t>
      </w:r>
    </w:p>
    <w:p>
      <w:pPr>
        <w:pStyle w:val="Heading2"/>
      </w:pPr>
      <w:r>
        <w:t>3.1 产品定位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CrossGuard定位为"跨境电商合规基础设施"——从单点工具出发，通过平台对接和数据飞轮，逐步演化为出海合规生态的核心节点。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演进阶段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护城河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V1(当前)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合规检测工具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两级检测+合规版本+报告导出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法规知识库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V2(6个月)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合规管理平台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+平台对接+巡检+数据飞轮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知识库+反馈数据+平台绑定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V3(12个月)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合规基础设施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+多平台对接+规则市场+合规认证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数据网络效应+生态锁定</w:t>
            </w:r>
          </w:p>
        </w:tc>
      </w:tr>
    </w:tbl>
    <w:p/>
    <w:p>
      <w:pPr>
        <w:pStyle w:val="Heading2"/>
      </w:pPr>
      <w:r>
        <w:t>3.2 核心功能</w:t>
      </w:r>
    </w:p>
    <w:p>
      <w:r>
        <w:rPr>
          <w:rFonts w:ascii="宋体" w:hAnsi="宋体" w:eastAsia="宋体"/>
          <w:b/>
          <w:sz w:val="24"/>
        </w:rPr>
        <w:t>3.2.1 两级检测流水线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第一级——关键词初筛（5个检测器）：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检测器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违规类型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MedicalClaimChecker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医疗宣称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25分/项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EU/US/SEA禁用词库(382词)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AbsoluteTermChecker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绝对化用语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15分/项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absolute_terms.txt(75词)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FalseAdChecker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虚假广告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15分/项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8组市场×类别正则模式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MissingLabelChecker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缺失标签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10分/项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7组市场×类别标签关键词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BannedIngredientChecker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禁用成分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30分/项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EU/US/SEA成分库(109种)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第二级——AI语义复筛（AISemanticChecker）：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基于LLM（GPT-4o/DeepSeek/Ollama）的5维度深度检测：隐含医疗宣称、误导性功效宣称、不当对比与贬低、文化/法律语境违规、成分暗示违规。仅报告置信度&gt;0.7的违规，避免误报。</w:t>
      </w:r>
    </w:p>
    <w:p>
      <w:r>
        <w:rPr>
          <w:rFonts w:ascii="宋体" w:hAnsi="宋体" w:eastAsia="宋体"/>
          <w:b/>
          <w:sz w:val="24"/>
        </w:rPr>
        <w:t>3.2.2 合规版本生成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上下文感知替换：只替换被标记为违规的词汇，而非全文替换。例如"治疗"被标记为医疗宣称违规时替换为"舒缓"，但"治疗"出现在非违规语境时不替换。EU市场30组、US市场20组、SEA市场26组替换映射。</w:t>
      </w:r>
    </w:p>
    <w:p>
      <w:r>
        <w:rPr>
          <w:rFonts w:ascii="宋体" w:hAnsi="宋体" w:eastAsia="宋体"/>
          <w:b/>
          <w:sz w:val="24"/>
        </w:rPr>
        <w:t>3.2.3 图片合规检测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Tesseract OCR提取图片文字 → 文本合规检测。支持PNG/JPG/WEBP格式，自动识别Amazon Listing主图中的违规文字。</w:t>
      </w:r>
    </w:p>
    <w:p>
      <w:r>
        <w:rPr>
          <w:rFonts w:ascii="宋体" w:hAnsi="宋体" w:eastAsia="宋体"/>
          <w:b/>
          <w:sz w:val="24"/>
        </w:rPr>
        <w:t>3.2.4 电商平台对接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类别映射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Amazon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SP-API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拉取Catalog Items/更新Listing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10组类别映射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Shopee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Open API v2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拉取商品列表/更新描述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5组类别映射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3.2.5 合规巡检引擎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自动流程：平台API拉取Listing → 逐条合规检测 → 高风险项生成告警 → Webhook通知（飞书/钉钉/Slack） → 巡检结果存储。支持手动触发和定期调度。</w:t>
      </w:r>
    </w:p>
    <w:p>
      <w:r>
        <w:rPr>
          <w:rFonts w:ascii="宋体" w:hAnsi="宋体" w:eastAsia="宋体"/>
          <w:b/>
          <w:sz w:val="24"/>
        </w:rPr>
        <w:t>3.2.6 数据飞轮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核心闭环：用户反馈（误报/漏报/正确标记）→ 精度指标计算（准确率/误报率/漏报率）→ 规则优化建议自动生成（误报≥3次建议移除、漏报≥2次建议补充）→ 人工审核 → 规则更新 → 精度提升。</w:t>
      </w:r>
    </w:p>
    <w:p>
      <w:r>
        <w:rPr>
          <w:rFonts w:ascii="宋体" w:hAnsi="宋体" w:eastAsia="宋体"/>
          <w:b/>
          <w:sz w:val="24"/>
        </w:rPr>
        <w:t>3.2.7 其他功能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批量检测（最多100条/次）• PDF报告导出 • 必需标签/认证查询 • JWT+RBAC认证 • 风险评分仪表盘 • Diff对比可视化</w:t>
      </w:r>
    </w:p>
    <w:p>
      <w:pPr>
        <w:pStyle w:val="Heading2"/>
      </w:pPr>
      <w:r>
        <w:t>3.3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402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FastAPI + Pydantic v2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异步高性能、自动OpenAPI文档、类型安全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SQLAlchemy 2.0 + PostgreSQL/SQLite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生产PostgreSQL+开发SQLite双模式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AI检测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LLM API (GPT-4o/DeepSeek/Ollama)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多后端支持、可切换、本地部署可选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OCR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Tesseract + Pillow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开源成熟、支持中英文+东南亚语言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JWT (python-jose) + bcrypt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无状态认证、工业级密码哈希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报告导出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Jinja2 + WeasyPrint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HTML模板→PDF、样式可控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React 19 + TypeScript + Ant Design 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类型安全、企业级UI组件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容器化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Docker + docker-compose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一键部署、环境一致性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自动化测试+构建+部署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架构设计原则：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可插拔检测器：BaseChecker抽象基类，新增检测器只需继承并实现check()方法；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可扩展平台：BasePlatformClient抽象基类，新增平台只需实现4个方法；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词边界匹配：英文使用\b正则边界，避免子串误报（painting不匹配pain）；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环境变量驱动：所有外部依赖（数据库/LLM/平台API）通过环境变量配置，12-Factor App规范。</w:t>
      </w:r>
    </w:p>
    <w:p>
      <w:pPr>
        <w:pStyle w:val="Heading2"/>
      </w:pPr>
      <w:r>
        <w:t>3.4 技术壁垒与护城河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壁垒层级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构建方式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竞对复制难度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L1-数据资产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法规知识库(382+禁用词/109禁用成分/76替换映射/4违规案例)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专业法务持续维护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中等-需专业投入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L2-反馈数据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用户误报/漏报标注数据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数据飞轮自动积累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高-时间依赖+用户锁定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L3-平台集成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Amazon/Shopee API对接+类别映射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工程开发+平台审核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高-需平台授权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L4-网络效应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更多用户→更多反馈→更准规则→更好产品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飞轮自增强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极高-需同时具备L1-L3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关键认知：LLM能力是商品化的（任何人都能接入GPT-4），但法规知识库+用户反馈数据+平台API集成是独占资产。CrossGuard的护城河不在AI算法本身，而在AI与领域知识的深度融合。</w:t>
      </w:r>
    </w:p>
    <w:p>
      <w:pPr>
        <w:pStyle w:val="Heading2"/>
      </w:pPr>
      <w:r>
        <w:t>3.5 产品路线图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核心交付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关键指标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MVP(当前)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V0.2.0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5市场两级检测+合规版本+PDF导出+认证+数据飞轮+平台对接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核心功能可用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1-3个月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Lazada/TikTok Shop对接+定期巡检调度+规则管理后台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平台对接≥3个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3-6个月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多语言UI(英/中/泰)+团队协作+白标API+合规培训模块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付费用户≥100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6-12个月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规则市场(用户贡献规则)+合规认证服务+行业解决方案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ARR≥500万</w:t>
            </w:r>
          </w:p>
        </w:tc>
      </w:tr>
    </w:tbl>
    <w:p/>
    <w:p>
      <w:pPr>
        <w:pStyle w:val="Heading1"/>
      </w:pPr>
      <w:r>
        <w:t>四、商业模式</w:t>
      </w:r>
    </w:p>
    <w:p>
      <w:pPr>
        <w:pStyle w:val="Heading2"/>
      </w:pPr>
      <w:r>
        <w:t>4.1 盈利模式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占比(目标)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SaaS订阅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月付/年付订阅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核心收入，四档定价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API调用计费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按量付费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企业客户批量调用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增值服务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项目制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合规培训/定制规则/认证辅导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规则市场分成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交易抽成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用户贡献规则的销售分成</w:t>
            </w:r>
          </w:p>
        </w:tc>
      </w:tr>
    </w:tbl>
    <w:p/>
    <w:p>
      <w:pPr>
        <w:pStyle w:val="Heading2"/>
      </w:pPr>
      <w:r>
        <w:t>4.2 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850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月价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年价(8折)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检测额度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核心权益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免费版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50条/月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1市场+文本检测+基础报告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专业版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¥299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¥2,870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2000条/月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5市场+AI检测+图片检测+PDF导出+数据飞轮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企业版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¥1,999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¥19,190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20000条/月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专业版+平台对接+巡检+API+团队协作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定制版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¥4,999+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面议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无限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企业版+私有部署+定制规则+专属支持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定价逻辑：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免费版：降低试用门槛，获取用户和数据飞轮输入；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专业版：覆盖中小卖家核心需求，¥299/月≈¥0.15/条，远低于人工审查成本(¥10-30/条)；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企业版：平台对接和API是关键差异化，锁定大客户；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定制版：高客单价+高粘性，贡献主要利润。</w:t>
      </w:r>
    </w:p>
    <w:p>
      <w:pPr>
        <w:pStyle w:val="Heading2"/>
      </w:pPr>
      <w:r>
        <w:t>4.3 单位经济模型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专业版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企业版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月客单价(ARPU)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¥299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¥1,999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订阅收入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边际成本(COGS)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¥15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LLM API+服务器+OCR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96%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SaaS典型高毛利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获客成本(CAC)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¥5,000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内容/社群 vs 直销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LTV(24个月)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¥7,176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¥47,976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ARPU×24×留存率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LTV/CAC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14.4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9.6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&gt;3为健康</w:t>
            </w:r>
          </w:p>
        </w:tc>
      </w:tr>
    </w:tbl>
    <w:p/>
    <w:p>
      <w:pPr>
        <w:pStyle w:val="Heading1"/>
      </w:pPr>
      <w:r>
        <w:t>五、运营与增长策略</w:t>
      </w:r>
    </w:p>
    <w:p>
      <w:pPr>
        <w:pStyle w:val="Heading2"/>
      </w:pPr>
      <w:r>
        <w:t>5.1 获客策略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预期CAC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内容营销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中小卖家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合规案例/法规解读/检测工具SEO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¥200-300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社群运营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中小卖家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亚马逊卖家群/跨境社群/知识星球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¥100-200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平台合作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大卖/服务商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与ERP/代运营工具集成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¥2,000-3,000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行业会议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企业客户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跨境电商峰会/合规论坛Demo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¥5,000-8,000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产品驱动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所有客户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免费版→专业版自然转化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¥50-100</w:t>
            </w:r>
          </w:p>
        </w:tc>
      </w:tr>
    </w:tbl>
    <w:p/>
    <w:p>
      <w:pPr>
        <w:pStyle w:val="Heading2"/>
      </w:pPr>
      <w:r>
        <w:t>5.2 增长飞轮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CrossGuard的增长飞轮由三个子飞轮耦合驱动：</w:t>
      </w:r>
    </w:p>
    <w:p>
      <w:r>
        <w:rPr>
          <w:rFonts w:ascii="宋体" w:hAnsi="宋体" w:eastAsia="宋体"/>
          <w:b/>
          <w:sz w:val="24"/>
        </w:rPr>
        <w:t>飞轮1——数据飞轮（精度飞轮）：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更多用户 → 更多检测 → 更多反馈（误报/漏报标记）→ 更精准规则 → 更低误报率 → 更好口碑 → 更多用户</w:t>
      </w:r>
    </w:p>
    <w:p>
      <w:r>
        <w:rPr>
          <w:rFonts w:ascii="宋体" w:hAnsi="宋体" w:eastAsia="宋体"/>
          <w:b/>
          <w:sz w:val="24"/>
        </w:rPr>
        <w:t>飞轮2——平台飞轮（粘性飞轮）：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平台对接 → Listing自动拉取 → 巡检告警 → 用户依赖 → 迁移成本↑ → 续费率↑ → 更多平台对接</w:t>
      </w:r>
    </w:p>
    <w:p>
      <w:r>
        <w:rPr>
          <w:rFonts w:ascii="宋体" w:hAnsi="宋体" w:eastAsia="宋体"/>
          <w:b/>
          <w:sz w:val="24"/>
        </w:rPr>
        <w:t>飞轮3——生态飞轮（网络飞轮）：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规则市场 → 用户贡献规则 → 规则覆盖度↑ → 新市场/新类别 → 新用户 → 更多规则贡献</w:t>
      </w:r>
    </w:p>
    <w:p>
      <w:pPr>
        <w:pStyle w:val="Heading2"/>
      </w:pPr>
      <w:r>
        <w:t>5.3 合作生态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合作方</w:t>
            </w:r>
          </w:p>
        </w:tc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合作模式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跨境电商ERP(店小秘/马帮等)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API集成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嵌入ERP工作流，降低使用门槛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代运营公司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渠道分销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代运营客户批量使用，白标方案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律所/合规机构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内容合作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法规更新+案例共享+客户推荐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电商平台(Amazon/Shopee)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官方合作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合规工具推荐+API优先支持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高校/研究机构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产学研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法规研究+算法优化+人才输送</w:t>
            </w:r>
          </w:p>
        </w:tc>
      </w:tr>
    </w:tbl>
    <w:p/>
    <w:p>
      <w:pPr>
        <w:pStyle w:val="Heading1"/>
      </w:pPr>
      <w:r>
        <w:t>六、团队与组织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98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268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能力要求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项目负责人/产品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产品规划+商业拓展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跨境电商+合规领域经验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已配置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后端工程师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检测引擎+API+平台对接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FastAPI+LLM+法规数据处理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已配置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前端工程师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用户界面+交互体验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React+TypeScript+数据可视化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已配置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法务顾问(兼职)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法规更新+规则审核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欧盟/美国/东南亚化妆品法规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需招募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增长运营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获客+社群+内容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跨境电商社群运营经验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需招募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团队扩展计划：产品验证阶段（当前）3人核心团队 → 规模化阶段（6个月）5-7人 → 增长阶段（12个月）10-15人。</w:t>
      </w:r>
    </w:p>
    <w:p>
      <w:pPr>
        <w:pStyle w:val="Heading1"/>
      </w:pPr>
      <w:r>
        <w:t>七、财务预测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第1年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第2年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第3年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第4年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第5年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付费用户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1,500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25,000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ARPU(月)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¥399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¥499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¥599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¥649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¥699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ARR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¥96万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¥898万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¥3,594万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¥9,345万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¥2.1亿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96%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96%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运营费用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¥180万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¥450万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¥900万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¥1,800万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¥3,000万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净利润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-¥84万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¥395万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¥2,514万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¥7,171万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¥1.7亿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累计现金流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-¥84万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¥311万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¥2,825万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¥9,996万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¥2.7亿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关键假设：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第1年以产品验证和种子用户为主，200付费用户×¥399月均价；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第2年产品-市场匹配确认，通过内容营销和社群获客，用户增长7.5倍；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第3年平台对接和数据飞轮效应显现，企业客户占比提升，ARPU上升；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毛利率持续提升：规模效应摊薄LLM API成本，数据飞轮减少人工规则维护成本；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第3年实现盈亏平衡，净利润转正。</w:t>
      </w:r>
    </w:p>
    <w:p>
      <w:r>
        <w:rPr>
          <w:rFonts w:ascii="宋体" w:hAnsi="宋体" w:eastAsia="宋体"/>
          <w:b/>
          <w:sz w:val="24"/>
        </w:rPr>
        <w:t>融资需求：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种子轮：寻求200-500万元融资，用于产品打磨（40%）、市场验证（30%）、团队扩展（20%）、合规储备（10%）。预计12-18个月达到产品-市场匹配。</w:t>
      </w:r>
    </w:p>
    <w:p>
      <w:pPr>
        <w:pStyle w:val="Heading1"/>
      </w:pPr>
      <w:r>
        <w:t>八、风险分析与应对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198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56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567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技术风险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LLM API成本上升或服务不稳定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多后端支持(OpenAI/DeepSeek/Ollama)+本地部署降级+缓存机制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技术风险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AI检测误报率过高导致用户流失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数据飞轮持续优化+置信度阈值调优+人工审核兜底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市场风险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竞对模仿核心功能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加速数据飞轮积累+平台对接锁定+法规知识库持续扩充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市场风险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目标市场法规重大变更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法务顾问持续跟踪+规则热更新+用户通知机制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合规风险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平台API政策收紧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多平台分散依赖+官方合作争取+手动导入兜底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运营风险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获客成本高于预期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产品驱动增长(PLG)+免费版降低门槛+社群口碑传播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财务风险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现金流断裂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极高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控制烧钱速度+优先验证付费意愿+保持6个月 runway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风险优先级矩阵：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高优先级（概率×影响=高）：AI误报率、LLM成本/稳定性 → 通过数据飞轮和多后端架构已部分缓解；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中优先级：竞对模仿、获客成本 → 通过护城河建设和PLG策略应对；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低优先级但高影响：法规变更、现金流 → 通过法务跟踪和财务纪律防范。</w:t>
      </w:r>
    </w:p>
    <w:p>
      <w:pPr>
        <w:pStyle w:val="Heading1"/>
      </w:pPr>
      <w:r>
        <w:t>九、社会价值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CrossGuard不仅具有商业价值，更承载重要的社会使命：</w:t>
      </w:r>
    </w:p>
    <w:p>
      <w:r>
        <w:rPr>
          <w:rFonts w:ascii="宋体" w:hAnsi="宋体" w:eastAsia="宋体"/>
          <w:b/>
          <w:sz w:val="24"/>
        </w:rPr>
        <w:t>1. 保护消费者权益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通过自动识别虚假广告和医疗宣称，防止消费者被误导购买无效甚至有害的产品，减少因违规产品导致的健康损害。</w:t>
      </w:r>
    </w:p>
    <w:p>
      <w:r>
        <w:rPr>
          <w:rFonts w:ascii="宋体" w:hAnsi="宋体" w:eastAsia="宋体"/>
          <w:b/>
          <w:sz w:val="24"/>
        </w:rPr>
        <w:t>2. 助力中国品牌合规出海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降低合规专业门槛，让中小卖家也能遵守目标市场法规，提升"中国制造"的国际形象和信任度，从"低价竞争"走向"合规竞争"。</w:t>
      </w:r>
    </w:p>
    <w:p>
      <w:r>
        <w:rPr>
          <w:rFonts w:ascii="宋体" w:hAnsi="宋体" w:eastAsia="宋体"/>
          <w:b/>
          <w:sz w:val="24"/>
        </w:rPr>
        <w:t>3. 促进跨境电商行业健康发展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通过数据飞轮积累的合规知识，推动行业合规标准提升，减少"劣币驱逐良币"现象，让合规经营者获得竞争优势。</w:t>
      </w:r>
    </w:p>
    <w:p>
      <w:r>
        <w:rPr>
          <w:rFonts w:ascii="宋体" w:hAnsi="宋体" w:eastAsia="宋体"/>
          <w:b/>
          <w:sz w:val="24"/>
        </w:rPr>
        <w:t>4. 支持东南亚等新兴市场监管建设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CrossGuard对东盟ACD等新兴法规体系的支持，帮助东南亚市场监管从"事后处罚"转向"事前预防"，降低社会监管成本。</w:t>
      </w:r>
    </w:p>
    <w:p>
      <w:r>
        <w:rPr>
          <w:rFonts w:ascii="宋体" w:hAnsi="宋体" w:eastAsia="宋体"/>
          <w:b/>
          <w:sz w:val="24"/>
        </w:rPr>
        <w:t>5. 知识普惠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免费版提供50条/月免费检测，让资金有限的初创卖家也能获得专业合规审查服务，促进合规知识普惠。</w:t>
      </w:r>
    </w:p>
    <w:p>
      <w:pPr>
        <w:pStyle w:val="Heading1"/>
      </w:pPr>
      <w:r>
        <w:t>十、附录</w:t>
      </w:r>
    </w:p>
    <w:p>
      <w:pPr>
        <w:pStyle w:val="Heading2"/>
      </w:pPr>
      <w:r>
        <w:t>附录A：法规知识库清单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255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条目数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医疗宣称禁用词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eu_cosmetics_medical.txt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167词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医疗宣称禁用词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us_cosmetics_medical.txt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122词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医疗宣称禁用词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sea_cosmetics_medical.txt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93词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绝对化用语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通用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absolute_terms.txt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75词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禁用成分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eu_cosmetics_ingredients.txt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35种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禁用成分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us_cosmetics_ingredients.txt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31种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禁用成分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sea_cosmetics_ingredients.txt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43种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法规数据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eu_cosmetics.json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3部法规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法规数据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us_cosmetics.json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4部法规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法规数据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sea_cosmetics.json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4部法规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替换映射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eu_cosmetics.json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替换映射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us_cosmetics.json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替换映射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SEA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sea_cosmetics.json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26组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违规案例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通用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violations.json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4案例</w:t>
            </w:r>
          </w:p>
        </w:tc>
      </w:tr>
    </w:tbl>
    <w:p/>
    <w:p>
      <w:pPr>
        <w:pStyle w:val="Heading2"/>
      </w:pPr>
      <w:r>
        <w:t>附录B：API端点清单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55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/api/v1/check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合规检测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/api/v1/check/batch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批量检测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/api/v1/check/image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图片检测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/api/v1/reports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报告列表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/api/v1/reports/{id}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报告详情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/api/v1/reports/{id}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删除报告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需admin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/api/v1/reports/{id}/export/pdf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导出PDF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/api/v1/markets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市场列表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/api/v1/markets/{m}/categories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类别列表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/api/v1/labels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必需标签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/api/v1/certifications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必需认证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/api/v1/auth/login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用户登录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/api/v1/auth/register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用户注册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公开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/api/v1/auth/me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当前用户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/api/v1/feedback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提交反馈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/api/v1/feedback/accuracy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精度指标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/api/v1/feedback/suggestions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优化建议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/api/v1/feedback/list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反馈列表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/api/v1/platforms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平台状态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/api/v1/patrol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触发巡检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需admin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/api/v1/patrol/history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巡检历史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需认证</w:t>
            </w:r>
          </w:p>
        </w:tc>
      </w:tr>
    </w:tbl>
    <w:p/>
    <w:p>
      <w:pPr>
        <w:pStyle w:val="Heading2"/>
      </w:pPr>
      <w:r>
        <w:t>附录C：技术栈版本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134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fill="1A3A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3.12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后端运行时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0.104+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Web框架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2.0+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ORM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生产数据库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前端框架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6.0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类型安全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Ant Design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UI组件库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构建工具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容器化部署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A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A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A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A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