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>
            <w:r>
              <w:rPr>
                <w:rFonts w:ascii="Arial" w:hAnsi="Arial"/>
                <w:b/>
                <w:sz w:val="18"/>
              </w:rPr>
              <w:t>Помещение: Раздевалка (мужская/женская)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296CF0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/>
            </w:r>
          </w:p>
        </w:tc>
      </w:tr>
      <w:tr w:rsidR="005F44C2" w:rsidRPr="00296CF0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296CF0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потолок подвесной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12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диффузоры, светильники, стены (выше 2 м)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3 месяца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стены (до 2 м)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водопроводные трубы, двери, кабель-каналы, розетки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выключатели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дверные ручки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отопительные приборы</w:t>
            </w:r>
          </w:p>
          <w:p>
            <w:r/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очистка (обеспыливание поверхностей)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  <w:p>
            <w:r/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месяц</w:t>
            </w:r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6 месяцев</w:t>
            </w:r>
          </w:p>
          <w:p>
            <w:r/>
          </w:p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окна внешние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</w:tcPr>
          <w:p>
            <w:r>
              <w:rPr>
                <w:sz w:val="14"/>
                <w:rFonts w:ascii="Arial" w:hAnsi="Arial"/>
              </w:rPr>
              <w:t xml:space="preserve">зеркала</w:t>
            </w:r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</w:tc>
        <w:tc>
          <w:tcPr>
            <w:tcW w:w="1467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</w:tc>
        <w:tc>
          <w:tcPr>
            <w:tcW w:w="1554" w:type="dxa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</w:tc>
        <w:tc>
          <w:tcPr>
            <w:tcW w:w="1586" w:type="dxa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вешалки, обувницы, скамейки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шкафы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мусорные корзины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 раз в неделю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контейнеры для отходов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после каждого удаления отходов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  <w:tr>
        <w:tc>
          <w:tcPr>
            <w:tcW w:w="1809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пол</w:t>
            </w:r>
          </w:p>
          <w:p>
            <w:r/>
          </w:p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мойка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99CCFF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ЧУДОДЕЙ®-ПОЛИПРОМ 190022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(протирание, обработка щеткой)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1,0 %</w:t>
            </w:r>
            <w:r>
              <w:br/>
            </w:r>
            <w:r>
              <w:rPr>
                <w:rFonts w:ascii="Arial" w:hAnsi="Arial"/>
                <w:sz w:val="14"/>
              </w:rPr>
              <w:t>ручное разведение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не ниже 40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_____________</w:t>
            </w:r>
          </w:p>
        </w:tc>
        <w:tc>
          <w:tcPr>
            <w:tcW w:w="411" w:type="dxa"/>
            <w:vMerge w:val="restart"/>
            <w:noWrap/>
            <w:tcMar>
              <w:left w:w="0" w:type="dxa"/>
              <w:right w:w="0" w:type="dxa"/>
            </w:tcMar>
            <w:textDirection w:val="btLr"/>
            <w:tcFitText/>
          </w:tcPr>
          <w:p>
            <w:pPr>
              <w:ind w:left="113" w:right="113"/>
              <w:jc w:val="center"/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промаркированный</w:t>
            </w:r>
          </w:p>
          <w:p>
            <w:r/>
          </w:p>
        </w:tc>
        <w:tc>
          <w:tcPr>
            <w:tcW w:w="1467" w:type="dxa"/>
            <w:vMerge w:val="restart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 раза в смену</w:t>
            </w:r>
          </w:p>
          <w:p>
            <w:r/>
          </w:p>
        </w:tc>
        <w:tc>
          <w:tcPr>
            <w:tcW w:w="1554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сотрудник внутреннего клининга</w:t>
            </w:r>
          </w:p>
          <w:p>
            <w:r/>
          </w:p>
        </w:tc>
        <w:tc>
          <w:tcPr>
            <w:tcW w:w="1586" w:type="dxa"/>
            <w:vMerge w:val="restart"/>
          </w:tcPr>
          <w:p>
            <w:r>
              <w:rPr>
                <w:sz w:val="14"/>
                <w:rFonts w:ascii="Arial" w:hAnsi="Arial"/>
              </w:rPr>
              <w:t xml:space="preserve">визуальный контроль/сотрудник отдела качества</w:t>
            </w:r>
          </w:p>
          <w:p>
            <w:r/>
          </w:p>
        </w:tc>
      </w:tr>
      <w:tr>
        <w:tc>
          <w:tcPr>
            <w:tcW w:w="1809" w:type="dxa"/>
            <w:vMerge/>
          </w:tcPr>
          <w:p/>
        </w:tc>
        <w:tc>
          <w:tcPr>
            <w:tcW w:w="1134" w:type="dxa"/>
          </w:tcPr>
          <w:p>
            <w:r>
              <w:rPr>
                <w:sz w:val="14"/>
                <w:rFonts w:ascii="Arial" w:hAnsi="Arial"/>
              </w:rPr>
              <w:t xml:space="preserve">дезинфекция</w:t>
            </w:r>
          </w:p>
        </w:tc>
        <w:tc>
          <w:tcPr>
            <w:tcW w:w="426" w:type="dxa"/>
            <w:textDirection w:val="btLr"/>
          </w:tcPr>
          <w:p>
            <w:pPr>
              <w:ind w:left="113" w:right="113"/>
              <w:jc w:val="center"/>
            </w:pPr>
            <w:r>
              <w:rPr>
                <w:sz w:val="14"/>
                <w:rFonts w:ascii="Arial" w:hAnsi="Arial"/>
              </w:rPr>
              <w:t xml:space="preserve"/>
            </w:r>
          </w:p>
        </w:tc>
        <w:tc>
          <w:tcPr>
            <w:tcW w:w="1417" w:type="dxa"/>
            <w:shd w:val="clear" w:color="auto" w:fill="FFFFCC"/>
          </w:tcPr>
          <w:p>
            <w:pPr>
              <w:rPr>
                <w:b/>
                <w:bCs/>
              </w:rPr>
            </w:pPr>
            <w:r>
              <w:rPr>
                <w:sz w:val="14"/>
                <w:rFonts w:ascii="Arial" w:hAnsi="Arial"/>
                <w:b/>
              </w:rPr>
              <w:t xml:space="preserve">ХИМИТЕК ПОЛИДЕЗ-СУПЕР</w:t>
            </w:r>
          </w:p>
        </w:tc>
        <w:tc>
          <w:tcPr>
            <w:tcW w:w="1276" w:type="dxa"/>
          </w:tcPr>
          <w:p>
            <w:r>
              <w:rPr>
                <w:sz w:val="14"/>
                <w:rFonts w:ascii="Arial" w:hAnsi="Arial"/>
              </w:rPr>
              <w:t xml:space="preserve">ручной (протирание)</w:t>
            </w:r>
          </w:p>
        </w:tc>
        <w:tc>
          <w:tcPr>
            <w:tcW w:w="1990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0,02-0,05 %</w:t>
            </w:r>
            <w:r>
              <w:br/>
            </w:r>
            <w:r>
              <w:rPr>
                <w:rFonts w:ascii="Arial" w:hAnsi="Arial"/>
                <w:sz w:val="14"/>
              </w:rPr>
              <w:t>дозирующая система ProMax</w:t>
            </w:r>
          </w:p>
        </w:tc>
        <w:tc>
          <w:tcPr>
            <w:tcW w:w="1248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18-20 °C</w:t>
            </w:r>
          </w:p>
        </w:tc>
        <w:tc>
          <w:tcPr>
            <w:tcW w:w="1032" w:type="dxa"/>
          </w:tcPr>
          <w:p>
            <w:pPr>
              <w:jc w:val="center"/>
            </w:pPr>
            <w:r>
              <w:rPr>
                <w:sz w:val="14"/>
                <w:rFonts w:ascii="Arial" w:hAnsi="Arial"/>
              </w:rPr>
              <w:t xml:space="preserve">20 мин</w:t>
            </w:r>
          </w:p>
        </w:tc>
        <w:tc>
          <w:tcPr>
            <w:tcW w:w="411" w:type="dxa"/>
            <w:vMerge/>
            <w:noWrap/>
            <w:tcMar>
              <w:left w:w="0" w:type="dxa"/>
              <w:right w:w="0" w:type="dxa"/>
            </w:tcMar>
            <w:textDirection w:val="btLr"/>
            <w:tcFitText/>
          </w:tcPr>
          <w:p/>
        </w:tc>
        <w:tc>
          <w:tcPr>
            <w:tcW w:w="1467" w:type="dxa"/>
            <w:vMerge/>
          </w:tcPr>
          <w:p/>
        </w:tc>
        <w:tc>
          <w:tcPr>
            <w:tcW w:w="1554" w:type="dxa"/>
            <w:vMerge/>
          </w:tcPr>
          <w:p/>
        </w:tc>
        <w:tc>
          <w:tcPr>
            <w:tcW w:w="1586" w:type="dxa"/>
            <w:vMerge/>
          </w:tcPr>
          <w:p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35</cp:revision>
  <dcterms:created xsi:type="dcterms:W3CDTF">2013-12-23T23:15:00Z</dcterms:created>
  <dcterms:modified xsi:type="dcterms:W3CDTF">2026-05-08T03:25:00Z</dcterms:modified>
  <cp:category/>
</cp:coreProperties>
</file>