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душевая  (мужская, женская)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потолок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вентиляционные диффузоры, водопроводные трубы (выше 2 м), светильники (внешние поверхности), стены (выше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водопроводные трубы (до 2 м), розетки, стены (до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двери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выключатели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-ЭКСПРЕСС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  <w:r>
              <w:br/>
            </w:r>
            <w:r>
              <w:rPr>
                <w:rFonts w:ascii="Arial" w:hAnsi="Arial"/>
                <w:sz w:val="14"/>
              </w:rPr>
              <w:t>готовая форма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1-2%</w:t>
            </w:r>
            <w:r>
              <w:br/>
            </w:r>
            <w:r>
              <w:rPr>
                <w:rFonts w:ascii="Arial" w:hAnsi="Arial"/>
                <w:sz w:val="14"/>
              </w:rPr>
              <w:t>Промакс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5 минут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дверные ручки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смесители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ПОЛИКОР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-ГЕЛЬ ДДС 180022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10,0 % - 11,0 %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душевые секции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5 минут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зеркальные поверхности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вешалки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средств измерений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мусорные корзины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рабочих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канализационные стоки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 в душевых секциях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