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ff0"/>
        <w:tblW w:w="15352" w:type="dxa"/>
        <w:tblLook w:val="04A0" w:firstRow="1" w:lastRow="0" w:firstColumn="1" w:lastColumn="0" w:noHBand="0" w:noVBand="1"/>
      </w:tblPr>
      <w:tblGrid>
        <w:gridCol w:w="523"/>
        <w:gridCol w:w="2777"/>
        <w:gridCol w:w="523"/>
        <w:gridCol w:w="2305"/>
        <w:gridCol w:w="523"/>
        <w:gridCol w:w="2284"/>
        <w:gridCol w:w="523"/>
        <w:gridCol w:w="2132"/>
        <w:gridCol w:w="522"/>
        <w:gridCol w:w="3240"/>
      </w:tblGrid>
      <w:tr w:rsidR="005F44C2" w:rsidRPr="00936880" w14:paraId="2D3309FF" w14:textId="77777777" w:rsidTr="00DE3817">
        <w:trPr>
          <w:trHeight w:val="416"/>
        </w:trPr>
        <w:tc>
          <w:tcPr>
            <w:tcW w:w="523" w:type="dxa"/>
            <w:shd w:val="clear" w:color="auto" w:fill="99FF99"/>
          </w:tcPr>
          <w:p w14:paraId="79AF56C6" w14:textId="77777777" w:rsidR="005F44C2" w:rsidRPr="00936880" w:rsidRDefault="005F44C2"/>
        </w:tc>
        <w:tc>
          <w:tcPr>
            <w:tcW w:w="2777" w:type="dxa"/>
          </w:tcPr>
          <w:p w14:paraId="56A0E88F" w14:textId="56EEB17C" w:rsidR="005F44C2" w:rsidRPr="00B9644C" w:rsidRDefault="00B9644C" w:rsidP="00B9644C">
            <w:pPr>
              <w:rPr>
                <w:sz w:val="18"/>
                <w:szCs w:val="18"/>
              </w:rPr>
            </w:pPr>
            <w:r w:rsidRPr="00B9644C">
              <w:rPr>
                <w:sz w:val="18"/>
                <w:szCs w:val="18"/>
              </w:rPr>
              <w:t xml:space="preserve">- </w:t>
            </w:r>
            <w:r w:rsidR="00651E07" w:rsidRPr="00B9644C">
              <w:rPr>
                <w:sz w:val="18"/>
                <w:szCs w:val="18"/>
              </w:rPr>
              <w:t>нейтральное средство</w:t>
            </w:r>
          </w:p>
        </w:tc>
        <w:tc>
          <w:tcPr>
            <w:tcW w:w="523" w:type="dxa"/>
            <w:shd w:val="clear" w:color="auto" w:fill="FFCCCC"/>
          </w:tcPr>
          <w:p w14:paraId="76068EE3" w14:textId="77777777" w:rsidR="005F44C2" w:rsidRPr="00936880" w:rsidRDefault="005F44C2"/>
        </w:tc>
        <w:tc>
          <w:tcPr>
            <w:tcW w:w="2305" w:type="dxa"/>
          </w:tcPr>
          <w:p w14:paraId="74A48B9B" w14:textId="28FB2587" w:rsidR="005F44C2" w:rsidRPr="00B9644C" w:rsidRDefault="00B9644C" w:rsidP="00B9644C">
            <w:pPr>
              <w:rPr>
                <w:sz w:val="18"/>
                <w:szCs w:val="18"/>
              </w:rPr>
            </w:pPr>
            <w:r w:rsidRPr="00B9644C">
              <w:rPr>
                <w:sz w:val="18"/>
                <w:szCs w:val="18"/>
              </w:rPr>
              <w:t xml:space="preserve">- </w:t>
            </w:r>
            <w:r w:rsidR="00651E07" w:rsidRPr="00B9644C">
              <w:rPr>
                <w:sz w:val="18"/>
                <w:szCs w:val="18"/>
              </w:rPr>
              <w:t>кислотное средство</w:t>
            </w:r>
          </w:p>
        </w:tc>
        <w:tc>
          <w:tcPr>
            <w:tcW w:w="523" w:type="dxa"/>
            <w:shd w:val="clear" w:color="auto" w:fill="99CCFF"/>
          </w:tcPr>
          <w:p w14:paraId="678C9DEF" w14:textId="77777777" w:rsidR="005F44C2" w:rsidRPr="00936880" w:rsidRDefault="005F44C2"/>
        </w:tc>
        <w:tc>
          <w:tcPr>
            <w:tcW w:w="2284" w:type="dxa"/>
          </w:tcPr>
          <w:p w14:paraId="1893D7EE" w14:textId="0DB54E6E" w:rsidR="005F44C2" w:rsidRPr="00B9644C" w:rsidRDefault="00B9644C" w:rsidP="00B9644C">
            <w:pPr>
              <w:rPr>
                <w:sz w:val="18"/>
                <w:szCs w:val="18"/>
              </w:rPr>
            </w:pPr>
            <w:r w:rsidRPr="00B9644C">
              <w:rPr>
                <w:sz w:val="18"/>
                <w:szCs w:val="18"/>
              </w:rPr>
              <w:t xml:space="preserve">- </w:t>
            </w:r>
            <w:r w:rsidR="00651E07" w:rsidRPr="00B9644C">
              <w:rPr>
                <w:sz w:val="18"/>
                <w:szCs w:val="18"/>
              </w:rPr>
              <w:t>щелочное средство</w:t>
            </w:r>
          </w:p>
        </w:tc>
        <w:tc>
          <w:tcPr>
            <w:tcW w:w="523" w:type="dxa"/>
            <w:shd w:val="clear" w:color="auto" w:fill="FFFFCC"/>
          </w:tcPr>
          <w:p w14:paraId="7ACF93D5" w14:textId="77777777" w:rsidR="005F44C2" w:rsidRPr="00936880" w:rsidRDefault="005F44C2"/>
        </w:tc>
        <w:tc>
          <w:tcPr>
            <w:tcW w:w="2132" w:type="dxa"/>
          </w:tcPr>
          <w:p w14:paraId="0867526F" w14:textId="78F1C54A" w:rsidR="005F44C2" w:rsidRPr="00B9644C" w:rsidRDefault="00B9644C" w:rsidP="00B9644C">
            <w:pPr>
              <w:rPr>
                <w:sz w:val="18"/>
                <w:szCs w:val="18"/>
              </w:rPr>
            </w:pPr>
            <w:r w:rsidRPr="00B9644C">
              <w:rPr>
                <w:sz w:val="18"/>
                <w:szCs w:val="18"/>
              </w:rPr>
              <w:t xml:space="preserve">- </w:t>
            </w:r>
            <w:r w:rsidR="00651E07" w:rsidRPr="00B9644C">
              <w:rPr>
                <w:sz w:val="18"/>
                <w:szCs w:val="18"/>
              </w:rPr>
              <w:t>дезинфектант</w:t>
            </w:r>
          </w:p>
        </w:tc>
        <w:tc>
          <w:tcPr>
            <w:tcW w:w="522" w:type="dxa"/>
            <w:shd w:val="clear" w:color="auto" w:fill="FABF8F"/>
          </w:tcPr>
          <w:p w14:paraId="7ED23021" w14:textId="77777777" w:rsidR="005F44C2" w:rsidRPr="00936880" w:rsidRDefault="005F44C2"/>
        </w:tc>
        <w:tc>
          <w:tcPr>
            <w:tcW w:w="3240" w:type="dxa"/>
          </w:tcPr>
          <w:p w14:paraId="608D70F3" w14:textId="42DB370A" w:rsidR="005F44C2" w:rsidRPr="00B9644C" w:rsidRDefault="00B9644C" w:rsidP="00B9644C">
            <w:pPr>
              <w:rPr>
                <w:sz w:val="18"/>
                <w:szCs w:val="18"/>
              </w:rPr>
            </w:pPr>
            <w:r w:rsidRPr="00B9644C">
              <w:rPr>
                <w:sz w:val="18"/>
                <w:szCs w:val="18"/>
              </w:rPr>
              <w:t xml:space="preserve">- </w:t>
            </w:r>
            <w:r w:rsidR="00651E07" w:rsidRPr="00B9644C">
              <w:rPr>
                <w:sz w:val="18"/>
                <w:szCs w:val="18"/>
              </w:rPr>
              <w:t>средство на безводной основе</w:t>
            </w:r>
          </w:p>
        </w:tc>
      </w:tr>
    </w:tbl>
    <w:p w14:paraId="1A134ECF" w14:textId="77777777" w:rsidR="005F44C2" w:rsidRPr="00936880" w:rsidRDefault="005F44C2">
      <w:pPr>
        <w:rPr>
          <w:sz w:val="18"/>
          <w:szCs w:val="18"/>
        </w:rPr>
      </w:pP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1809"/>
        <w:gridCol w:w="1134"/>
        <w:gridCol w:w="426"/>
        <w:gridCol w:w="1417"/>
        <w:gridCol w:w="1276"/>
        <w:gridCol w:w="1990"/>
        <w:gridCol w:w="1248"/>
        <w:gridCol w:w="1032"/>
        <w:gridCol w:w="411"/>
        <w:gridCol w:w="1467"/>
        <w:gridCol w:w="1554"/>
        <w:gridCol w:w="1586"/>
      </w:tblGrid>
      <w:tr w:rsidR="005F44C2" w:rsidRPr="00936880" w14:paraId="66A8EB64" w14:textId="77777777" w:rsidTr="003929CB">
        <w:trPr>
          <w:cantSplit/>
        </w:trPr>
        <w:tc>
          <w:tcPr>
            <w:tcW w:w="15350" w:type="dxa"/>
            <w:gridSpan w:val="1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71C32680" w14:textId="77777777" w:rsidR="005F44C2" w:rsidRPr="00936880" w:rsidRDefault="00651E07">
            <w:r w:rsidRPr="00936880">
              <w:rPr>
                <w:b/>
                <w:sz w:val="18"/>
              </w:rPr>
              <w:t>Технологическая карта санитарной обработки № ________</w:t>
            </w:r>
          </w:p>
        </w:tc>
      </w:tr>
      <w:tr w:rsidR="005F44C2" w:rsidRPr="00936880" w14:paraId="3FD64D76" w14:textId="77777777" w:rsidTr="003929CB">
        <w:trPr>
          <w:cantSplit/>
        </w:trPr>
        <w:tc>
          <w:tcPr>
            <w:tcW w:w="15350" w:type="dxa"/>
            <w:gridSpan w:val="1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>
            <w:r>
              <w:rPr>
                <w:rFonts w:ascii="Arial" w:hAnsi="Arial"/>
                <w:b/>
                <w:sz w:val="18"/>
              </w:rPr>
              <w:t>Помещение: Раздевалка (мужская/женская)</w:t>
            </w:r>
          </w:p>
        </w:tc>
      </w:tr>
      <w:tr w:rsidR="005F44C2" w:rsidRPr="00936880" w14:paraId="435A7328" w14:textId="77777777" w:rsidTr="003929CB">
        <w:trPr>
          <w:cantSplit/>
        </w:trPr>
        <w:tc>
          <w:tcPr>
            <w:tcW w:w="15350" w:type="dxa"/>
            <w:gridSpan w:val="1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B666C6E" w14:textId="77777777" w:rsidR="005F44C2" w:rsidRPr="00936880" w:rsidRDefault="005F44C2">
            <w:pPr>
              <w:rPr>
                <w:sz w:val="18"/>
                <w:szCs w:val="18"/>
              </w:rPr>
            </w:pPr>
          </w:p>
        </w:tc>
      </w:tr>
      <w:tr w:rsidR="005F44C2" w:rsidRPr="003929CB" w14:paraId="3009328D" w14:textId="77777777" w:rsidTr="003929CB">
        <w:trPr>
          <w:cantSplit/>
        </w:trPr>
        <w:tc>
          <w:tcPr>
            <w:tcW w:w="15350" w:type="dxa"/>
            <w:gridSpan w:val="1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00008C0B" w14:textId="5D8A45D1" w:rsidR="005F44C2" w:rsidRPr="00F46EC6" w:rsidRDefault="00F46EC6">
            <w:pPr>
              <w:rPr>
                <w:sz w:val="18"/>
                <w:szCs w:val="18"/>
              </w:rPr>
            </w:pPr>
            <w:r w:rsidRPr="00F46EC6">
              <w:rPr>
                <w:rStyle w:val="af6"/>
                <w:sz w:val="18"/>
                <w:szCs w:val="18"/>
              </w:rPr>
              <w:t/>
            </w:r>
          </w:p>
        </w:tc>
      </w:tr>
      <w:tr w:rsidR="005F44C2" w:rsidRPr="003929CB" w14:paraId="4F16C9EE" w14:textId="77777777" w:rsidTr="003929CB">
        <w:trPr>
          <w:cantSplit/>
        </w:trPr>
        <w:tc>
          <w:tcPr>
            <w:tcW w:w="15350" w:type="dxa"/>
            <w:gridSpan w:val="1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E519AC" w14:textId="77777777" w:rsidR="005F44C2" w:rsidRPr="00936880" w:rsidRDefault="005F44C2">
            <w:pPr>
              <w:rPr>
                <w:sz w:val="18"/>
                <w:szCs w:val="18"/>
              </w:rPr>
            </w:pPr>
          </w:p>
        </w:tc>
      </w:tr>
      <w:tr w:rsidR="00CB2608" w:rsidRPr="00B9644C" w14:paraId="4C9BB6FA" w14:textId="77777777" w:rsidTr="003929CB">
        <w:trPr>
          <w:cantSplit/>
          <w:trHeight w:val="1437"/>
        </w:trPr>
        <w:tc>
          <w:tcPr>
            <w:tcW w:w="1809" w:type="dxa"/>
            <w:tcBorders>
              <w:top w:val="single" w:sz="4" w:space="0" w:color="auto"/>
            </w:tcBorders>
          </w:tcPr>
          <w:p w14:paraId="384D7F69" w14:textId="77777777" w:rsidR="005F44C2" w:rsidRPr="00B9644C" w:rsidRDefault="00651E07" w:rsidP="00482BBC">
            <w:pPr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Объект обработки</w:t>
            </w:r>
          </w:p>
        </w:tc>
        <w:tc>
          <w:tcPr>
            <w:tcW w:w="1134" w:type="dxa"/>
            <w:tcBorders>
              <w:top w:val="single" w:sz="4" w:space="0" w:color="auto"/>
            </w:tcBorders>
          </w:tcPr>
          <w:p w14:paraId="101DB1B8" w14:textId="77777777" w:rsidR="005F44C2" w:rsidRPr="00B9644C" w:rsidRDefault="00651E07" w:rsidP="00482BBC">
            <w:pPr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Способ обработки</w:t>
            </w:r>
          </w:p>
        </w:tc>
        <w:tc>
          <w:tcPr>
            <w:tcW w:w="426" w:type="dxa"/>
            <w:tcBorders>
              <w:top w:val="single" w:sz="4" w:space="0" w:color="auto"/>
            </w:tcBorders>
            <w:textDirection w:val="btLr"/>
          </w:tcPr>
          <w:p w14:paraId="5E3799C3" w14:textId="77777777" w:rsidR="005F44C2" w:rsidRPr="00B9644C" w:rsidRDefault="00651E07" w:rsidP="00482BBC">
            <w:pPr>
              <w:ind w:left="113" w:right="113"/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№ инструкции</w:t>
            </w:r>
          </w:p>
        </w:tc>
        <w:tc>
          <w:tcPr>
            <w:tcW w:w="1417" w:type="dxa"/>
            <w:tcBorders>
              <w:top w:val="single" w:sz="4" w:space="0" w:color="auto"/>
            </w:tcBorders>
          </w:tcPr>
          <w:p w14:paraId="1612B757" w14:textId="77777777" w:rsidR="005F44C2" w:rsidRPr="00B9644C" w:rsidRDefault="00651E07" w:rsidP="00482BBC">
            <w:pPr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Наименование средства</w:t>
            </w:r>
          </w:p>
        </w:tc>
        <w:tc>
          <w:tcPr>
            <w:tcW w:w="1276" w:type="dxa"/>
            <w:tcBorders>
              <w:top w:val="single" w:sz="4" w:space="0" w:color="auto"/>
            </w:tcBorders>
          </w:tcPr>
          <w:p w14:paraId="671054DA" w14:textId="77777777" w:rsidR="005F44C2" w:rsidRPr="00B9644C" w:rsidRDefault="00651E07" w:rsidP="00482BBC">
            <w:pPr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Метод уборки</w:t>
            </w:r>
          </w:p>
        </w:tc>
        <w:tc>
          <w:tcPr>
            <w:tcW w:w="1990" w:type="dxa"/>
            <w:tcBorders>
              <w:top w:val="single" w:sz="4" w:space="0" w:color="auto"/>
            </w:tcBorders>
          </w:tcPr>
          <w:p w14:paraId="78941DA3" w14:textId="77777777" w:rsidR="005F44C2" w:rsidRPr="00B9644C" w:rsidRDefault="00651E07" w:rsidP="00482BBC">
            <w:pPr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Концентрация средства, %, метод разведения</w:t>
            </w:r>
          </w:p>
        </w:tc>
        <w:tc>
          <w:tcPr>
            <w:tcW w:w="1248" w:type="dxa"/>
            <w:tcBorders>
              <w:top w:val="single" w:sz="4" w:space="0" w:color="auto"/>
            </w:tcBorders>
          </w:tcPr>
          <w:p w14:paraId="6541EC60" w14:textId="77777777" w:rsidR="005F44C2" w:rsidRPr="00B9644C" w:rsidRDefault="00651E07" w:rsidP="00482BBC">
            <w:pPr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Температура раствора, °C</w:t>
            </w:r>
          </w:p>
        </w:tc>
        <w:tc>
          <w:tcPr>
            <w:tcW w:w="1032" w:type="dxa"/>
            <w:tcBorders>
              <w:top w:val="single" w:sz="4" w:space="0" w:color="auto"/>
            </w:tcBorders>
          </w:tcPr>
          <w:p w14:paraId="2D1609F3" w14:textId="77777777" w:rsidR="005F44C2" w:rsidRPr="00B9644C" w:rsidRDefault="00651E07" w:rsidP="00482BBC">
            <w:pPr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Время выдержки средства, мин</w:t>
            </w:r>
          </w:p>
        </w:tc>
        <w:tc>
          <w:tcPr>
            <w:tcW w:w="411" w:type="dxa"/>
            <w:tcBorders>
              <w:top w:val="single" w:sz="4" w:space="0" w:color="auto"/>
            </w:tcBorders>
            <w:textDirection w:val="btLr"/>
          </w:tcPr>
          <w:p w14:paraId="41887868" w14:textId="77777777" w:rsidR="005F44C2" w:rsidRPr="00B9644C" w:rsidRDefault="00651E07" w:rsidP="00482BBC">
            <w:pPr>
              <w:ind w:left="113" w:right="113"/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Инвентарь</w:t>
            </w:r>
          </w:p>
        </w:tc>
        <w:tc>
          <w:tcPr>
            <w:tcW w:w="1467" w:type="dxa"/>
            <w:tcBorders>
              <w:top w:val="single" w:sz="4" w:space="0" w:color="auto"/>
            </w:tcBorders>
          </w:tcPr>
          <w:p w14:paraId="2B801269" w14:textId="77777777" w:rsidR="005F44C2" w:rsidRPr="00B9644C" w:rsidRDefault="00651E07" w:rsidP="00482BBC">
            <w:pPr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Периодичность</w:t>
            </w:r>
          </w:p>
        </w:tc>
        <w:tc>
          <w:tcPr>
            <w:tcW w:w="1554" w:type="dxa"/>
            <w:tcBorders>
              <w:top w:val="single" w:sz="4" w:space="0" w:color="auto"/>
            </w:tcBorders>
          </w:tcPr>
          <w:p w14:paraId="6B4F1DCF" w14:textId="77777777" w:rsidR="005F44C2" w:rsidRPr="00B9644C" w:rsidRDefault="00651E07" w:rsidP="00482BBC">
            <w:pPr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Исполнитель</w:t>
            </w:r>
          </w:p>
        </w:tc>
        <w:tc>
          <w:tcPr>
            <w:tcW w:w="1586" w:type="dxa"/>
            <w:tcBorders>
              <w:top w:val="single" w:sz="4" w:space="0" w:color="auto"/>
            </w:tcBorders>
          </w:tcPr>
          <w:p w14:paraId="55377BF8" w14:textId="10653203" w:rsidR="005F44C2" w:rsidRPr="00A71393" w:rsidRDefault="00651E07" w:rsidP="00482BBC">
            <w:pPr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Метод контроля/</w:t>
            </w:r>
            <w:r w:rsidR="00CB2608">
              <w:rPr>
                <w:b/>
                <w:sz w:val="16"/>
                <w:szCs w:val="16"/>
              </w:rPr>
              <w:br/>
            </w:r>
            <w:r w:rsidR="00A71393">
              <w:rPr>
                <w:b/>
                <w:sz w:val="16"/>
                <w:szCs w:val="16"/>
              </w:rPr>
              <w:t>ответственный</w:t>
            </w:r>
          </w:p>
        </w:tc>
      </w:tr>
      <w:tr w:rsidR="00F46EC6" w:rsidRPr="003929CB" w14:paraId="728FAD02" w14:textId="77777777" w:rsidTr="00A42DD1">
        <w:trPr>
          <w:cantSplit/>
          <w:trHeight w:val="268"/>
        </w:trPr>
        <w:tc>
          <w:tcPr>
            <w:tcW w:w="15350" w:type="dxa"/>
            <w:gridSpan w:val="12"/>
          </w:tcPr>
          <w:p w14:paraId="58EF6201" w14:textId="1350CECD" w:rsidR="00F46EC6" w:rsidRPr="00F46EC6" w:rsidRDefault="00F46EC6" w:rsidP="00F46EC6">
            <w:pPr>
              <w:jc w:val="center"/>
              <w:rPr>
                <w:sz w:val="18"/>
                <w:szCs w:val="18"/>
              </w:rPr>
            </w:pPr>
            <w:r w:rsidRPr="00F46EC6">
              <w:rPr>
                <w:rStyle w:val="af6"/>
                <w:sz w:val="18"/>
                <w:szCs w:val="18"/>
              </w:rPr>
              <w:t>Перед мойкой необходимо убрать крупные загрязнения и мусор.</w:t>
            </w:r>
          </w:p>
        </w:tc>
      </w:tr>
      <w:tr>
        <w:tc>
          <w:tcPr>
            <w:tcW w:w="1809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потолок подвесной</w:t>
            </w:r>
          </w:p>
          <w:p>
            <w:r/>
          </w:p>
          <w:p>
            <w:r/>
          </w:p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обеспыливание</w:t>
            </w:r>
          </w:p>
          <w:p/>
          <w:p/>
          <w:p/>
        </w:tc>
        <w:tc>
          <w:tcPr>
            <w:tcW w:w="426" w:type="dxa"/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417" w:type="dxa"/>
          </w:tcPr>
          <w:p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411" w:type="dxa"/>
            <w:vMerge w:val="restart"/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>промаркированный</w:t>
            </w:r>
          </w:p>
          <w:p>
            <w:r/>
          </w:p>
          <w:p>
            <w:r/>
          </w:p>
        </w:tc>
        <w:tc>
          <w:tcPr>
            <w:tcW w:w="1467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 раз в 3 месяца</w:t>
            </w:r>
          </w:p>
        </w:tc>
        <w:tc>
          <w:tcPr>
            <w:tcW w:w="1554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сотрудник внутреннего клининга</w:t>
            </w:r>
          </w:p>
          <w:p>
            <w:r/>
          </w:p>
          <w:p>
            <w:r/>
          </w:p>
        </w:tc>
        <w:tc>
          <w:tcPr>
            <w:tcW w:w="1586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визуальный контроль/сотрудник отдела качества</w:t>
            </w:r>
          </w:p>
          <w:p>
            <w:r/>
          </w:p>
          <w:p>
            <w:r/>
          </w:p>
        </w:tc>
      </w:tr>
      <w:tr>
        <w:tc>
          <w:tcPr>
            <w:tcW w:w="1809" w:type="dxa"/>
            <w:vMerge/>
          </w:tcPr>
          <w:p/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мойка</w:t>
            </w:r>
          </w:p>
          <w:p/>
          <w:p/>
          <w:p/>
        </w:tc>
        <w:tc>
          <w:tcPr>
            <w:tcW w:w="426" w:type="dxa"/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417" w:type="dxa"/>
            <w:shd w:val="clear" w:color="auto" w:fill="99CCFF"/>
          </w:tcPr>
          <w:p>
            <w:r>
              <w:rPr>
                <w:sz w:val="14"/>
                <w:rFonts w:ascii="Arial" w:hAnsi="Arial"/>
              </w:rPr>
              <w:t xml:space="preserve">ХИМИТЕК ЧУДОДЕЙ®-ПОЛИПРОМ 190022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1,0 %, ручное разведение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не ниже 40°C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411" w:type="dxa"/>
            <w:vMerge/>
            <w:textDirection w:val="btLr"/>
          </w:tcPr>
          <w:p/>
        </w:tc>
        <w:tc>
          <w:tcPr>
            <w:tcW w:w="1467" w:type="dxa"/>
            <w:vMerge w:val="restart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 раз в 12 месяцев</w:t>
            </w:r>
          </w:p>
          <w:p>
            <w:r/>
          </w:p>
        </w:tc>
        <w:tc>
          <w:tcPr>
            <w:tcW w:w="1554" w:type="dxa"/>
            <w:vMerge/>
          </w:tcPr>
          <w:p/>
        </w:tc>
        <w:tc>
          <w:tcPr>
            <w:tcW w:w="1586" w:type="dxa"/>
            <w:vMerge/>
          </w:tcPr>
          <w:p/>
        </w:tc>
      </w:tr>
      <w:tr>
        <w:tc>
          <w:tcPr>
            <w:tcW w:w="1809" w:type="dxa"/>
            <w:vMerge/>
          </w:tcPr>
          <w:p/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дезинфекция</w:t>
            </w:r>
          </w:p>
          <w:p/>
          <w:p/>
          <w:p/>
        </w:tc>
        <w:tc>
          <w:tcPr>
            <w:tcW w:w="426" w:type="dxa"/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417" w:type="dxa"/>
            <w:shd w:val="clear" w:color="auto" w:fill="FFFFCC"/>
          </w:tcPr>
          <w:p>
            <w:r>
              <w:rPr>
                <w:sz w:val="14"/>
                <w:rFonts w:ascii="Arial" w:hAnsi="Arial"/>
              </w:rPr>
              <w:t xml:space="preserve">ХИМИТЕК ПОЛИДЕЗ-СУПЕР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0,02-0,05 %, дозирующая система ProMax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20 мин</w:t>
            </w:r>
          </w:p>
        </w:tc>
        <w:tc>
          <w:tcPr>
            <w:tcW w:w="411" w:type="dxa"/>
            <w:vMerge/>
            <w:textDirection w:val="btLr"/>
          </w:tcPr>
          <w:p/>
        </w:tc>
        <w:tc>
          <w:tcPr>
            <w:tcW w:w="1467" w:type="dxa"/>
            <w:vMerge/>
          </w:tcPr>
          <w:p/>
        </w:tc>
        <w:tc>
          <w:tcPr>
            <w:tcW w:w="1554" w:type="dxa"/>
            <w:vMerge/>
          </w:tcPr>
          <w:p/>
        </w:tc>
        <w:tc>
          <w:tcPr>
            <w:tcW w:w="1586" w:type="dxa"/>
            <w:vMerge/>
          </w:tcPr>
          <w:p/>
        </w:tc>
      </w:tr>
      <w:tr>
        <w:tc>
          <w:tcPr>
            <w:tcW w:w="1809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диффузоры, светильники, стены (выше 2 м)</w:t>
            </w:r>
          </w:p>
          <w:p>
            <w:r/>
          </w:p>
          <w:p>
            <w:r/>
          </w:p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обеспыливание</w:t>
            </w:r>
          </w:p>
          <w:p/>
          <w:p/>
          <w:p/>
        </w:tc>
        <w:tc>
          <w:tcPr>
            <w:tcW w:w="426" w:type="dxa"/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417" w:type="dxa"/>
          </w:tcPr>
          <w:p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411" w:type="dxa"/>
            <w:vMerge w:val="restart"/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>промаркированный</w:t>
            </w:r>
          </w:p>
          <w:p>
            <w:r/>
          </w:p>
          <w:p>
            <w:r/>
          </w:p>
        </w:tc>
        <w:tc>
          <w:tcPr>
            <w:tcW w:w="1467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 раз в 3 месяца</w:t>
            </w:r>
          </w:p>
        </w:tc>
        <w:tc>
          <w:tcPr>
            <w:tcW w:w="1554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сотрудник внутреннего клининга</w:t>
            </w:r>
          </w:p>
          <w:p>
            <w:r/>
          </w:p>
          <w:p>
            <w:r/>
          </w:p>
        </w:tc>
        <w:tc>
          <w:tcPr>
            <w:tcW w:w="1586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визуальный контроль/сотрудник отдела качества</w:t>
            </w:r>
          </w:p>
          <w:p>
            <w:r/>
          </w:p>
          <w:p>
            <w:r/>
          </w:p>
        </w:tc>
      </w:tr>
      <w:tr>
        <w:tc>
          <w:tcPr>
            <w:tcW w:w="1809" w:type="dxa"/>
            <w:vMerge/>
          </w:tcPr>
          <w:p/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мойка</w:t>
            </w:r>
          </w:p>
          <w:p/>
          <w:p/>
          <w:p/>
        </w:tc>
        <w:tc>
          <w:tcPr>
            <w:tcW w:w="426" w:type="dxa"/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417" w:type="dxa"/>
            <w:shd w:val="clear" w:color="auto" w:fill="99CCFF"/>
          </w:tcPr>
          <w:p>
            <w:r>
              <w:rPr>
                <w:sz w:val="14"/>
                <w:rFonts w:ascii="Arial" w:hAnsi="Arial"/>
              </w:rPr>
              <w:t xml:space="preserve">ХИМИТЕК ЧУДОДЕЙ®-ПОЛИПРОМ 190022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1,0 %, ручное разведение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411" w:type="dxa"/>
            <w:vMerge/>
            <w:textDirection w:val="btLr"/>
          </w:tcPr>
          <w:p/>
        </w:tc>
        <w:tc>
          <w:tcPr>
            <w:tcW w:w="1467" w:type="dxa"/>
            <w:vMerge w:val="restart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 раз в 6 месяцев</w:t>
            </w:r>
          </w:p>
          <w:p>
            <w:r/>
          </w:p>
        </w:tc>
        <w:tc>
          <w:tcPr>
            <w:tcW w:w="1554" w:type="dxa"/>
            <w:vMerge/>
          </w:tcPr>
          <w:p/>
        </w:tc>
        <w:tc>
          <w:tcPr>
            <w:tcW w:w="1586" w:type="dxa"/>
            <w:vMerge/>
          </w:tcPr>
          <w:p/>
        </w:tc>
      </w:tr>
      <w:tr>
        <w:tc>
          <w:tcPr>
            <w:tcW w:w="1809" w:type="dxa"/>
            <w:vMerge/>
          </w:tcPr>
          <w:p/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дезинфекция</w:t>
            </w:r>
          </w:p>
          <w:p/>
          <w:p/>
          <w:p/>
        </w:tc>
        <w:tc>
          <w:tcPr>
            <w:tcW w:w="426" w:type="dxa"/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417" w:type="dxa"/>
            <w:shd w:val="clear" w:color="auto" w:fill="FFFFCC"/>
          </w:tcPr>
          <w:p>
            <w:r>
              <w:rPr>
                <w:sz w:val="14"/>
                <w:rFonts w:ascii="Arial" w:hAnsi="Arial"/>
              </w:rPr>
              <w:t xml:space="preserve">ХИМИТЕК ПОЛИДЕЗ-СУПЕР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0,02-0,05 %, дозирующая система ProMax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20 мин</w:t>
            </w:r>
          </w:p>
        </w:tc>
        <w:tc>
          <w:tcPr>
            <w:tcW w:w="411" w:type="dxa"/>
            <w:vMerge/>
            <w:textDirection w:val="btLr"/>
          </w:tcPr>
          <w:p/>
        </w:tc>
        <w:tc>
          <w:tcPr>
            <w:tcW w:w="1467" w:type="dxa"/>
            <w:vMerge/>
          </w:tcPr>
          <w:p/>
        </w:tc>
        <w:tc>
          <w:tcPr>
            <w:tcW w:w="1554" w:type="dxa"/>
            <w:vMerge/>
          </w:tcPr>
          <w:p/>
        </w:tc>
        <w:tc>
          <w:tcPr>
            <w:tcW w:w="1586" w:type="dxa"/>
            <w:vMerge/>
          </w:tcPr>
          <w:p/>
        </w:tc>
      </w:tr>
      <w:tr>
        <w:tc>
          <w:tcPr>
            <w:tcW w:w="1809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водопроводные трубы, двери, кабель-каналы, розетки</w:t>
            </w:r>
          </w:p>
          <w:p>
            <w:r/>
          </w:p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мойка</w:t>
            </w:r>
          </w:p>
          <w:p/>
          <w:p/>
          <w:p/>
        </w:tc>
        <w:tc>
          <w:tcPr>
            <w:tcW w:w="426" w:type="dxa"/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417" w:type="dxa"/>
            <w:shd w:val="clear" w:color="auto" w:fill="99CCFF"/>
          </w:tcPr>
          <w:p>
            <w:r>
              <w:rPr>
                <w:sz w:val="14"/>
                <w:rFonts w:ascii="Arial" w:hAnsi="Arial"/>
              </w:rPr>
              <w:t xml:space="preserve">ХИМИТЕК ЧУДОДЕЙ®-ПОЛИПРОМ 190022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1,0 %, ручное разведение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411" w:type="dxa"/>
            <w:vMerge w:val="restart"/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>промаркированный</w:t>
            </w:r>
          </w:p>
          <w:p>
            <w:r/>
          </w:p>
        </w:tc>
        <w:tc>
          <w:tcPr>
            <w:tcW w:w="1467" w:type="dxa"/>
            <w:vMerge w:val="restart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 раз в месяц</w:t>
            </w:r>
          </w:p>
          <w:p>
            <w:r/>
          </w:p>
        </w:tc>
        <w:tc>
          <w:tcPr>
            <w:tcW w:w="1554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сотрудник внутреннего клининга</w:t>
            </w:r>
          </w:p>
          <w:p>
            <w:r/>
          </w:p>
        </w:tc>
        <w:tc>
          <w:tcPr>
            <w:tcW w:w="1586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визуальный контроль/сотрудник отдела качества</w:t>
            </w:r>
          </w:p>
          <w:p>
            <w:r/>
          </w:p>
        </w:tc>
      </w:tr>
      <w:tr>
        <w:tc>
          <w:tcPr>
            <w:tcW w:w="1809" w:type="dxa"/>
            <w:vMerge/>
          </w:tcPr>
          <w:p/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дезинфекция</w:t>
            </w:r>
          </w:p>
          <w:p/>
          <w:p/>
          <w:p/>
        </w:tc>
        <w:tc>
          <w:tcPr>
            <w:tcW w:w="426" w:type="dxa"/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417" w:type="dxa"/>
            <w:shd w:val="clear" w:color="auto" w:fill="FFFFCC"/>
          </w:tcPr>
          <w:p>
            <w:r>
              <w:rPr>
                <w:sz w:val="14"/>
                <w:rFonts w:ascii="Arial" w:hAnsi="Arial"/>
              </w:rPr>
              <w:t xml:space="preserve">ХИМИТЕК ПОЛИДЕЗ-СУПЕР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0,02-0,05 %, дозирующая система ProMax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20 мин</w:t>
            </w:r>
          </w:p>
        </w:tc>
        <w:tc>
          <w:tcPr>
            <w:tcW w:w="411" w:type="dxa"/>
            <w:vMerge/>
            <w:textDirection w:val="btLr"/>
          </w:tcPr>
          <w:p/>
        </w:tc>
        <w:tc>
          <w:tcPr>
            <w:tcW w:w="1467" w:type="dxa"/>
            <w:vMerge/>
          </w:tcPr>
          <w:p/>
        </w:tc>
        <w:tc>
          <w:tcPr>
            <w:tcW w:w="1554" w:type="dxa"/>
            <w:vMerge/>
          </w:tcPr>
          <w:p/>
        </w:tc>
        <w:tc>
          <w:tcPr>
            <w:tcW w:w="1586" w:type="dxa"/>
            <w:vMerge/>
          </w:tcPr>
          <w:p/>
        </w:tc>
      </w:tr>
      <w:tr>
        <w:tc>
          <w:tcPr>
            <w:tcW w:w="1809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выключатели</w:t>
            </w:r>
          </w:p>
          <w:p>
            <w:r/>
          </w:p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мойка</w:t>
            </w:r>
          </w:p>
          <w:p/>
          <w:p/>
          <w:p/>
        </w:tc>
        <w:tc>
          <w:tcPr>
            <w:tcW w:w="426" w:type="dxa"/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417" w:type="dxa"/>
            <w:shd w:val="clear" w:color="auto" w:fill="99CCFF"/>
          </w:tcPr>
          <w:p>
            <w:r>
              <w:rPr>
                <w:sz w:val="14"/>
                <w:rFonts w:ascii="Arial" w:hAnsi="Arial"/>
              </w:rPr>
              <w:t xml:space="preserve">ХИМИТЕК ЧУДОДЕЙ®-ПОЛИПРОМ 190022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1,0 %, ручное разведение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не ниже 40°C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411" w:type="dxa"/>
            <w:vMerge w:val="restart"/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>промаркированный</w:t>
            </w:r>
          </w:p>
          <w:p>
            <w:r/>
          </w:p>
        </w:tc>
        <w:tc>
          <w:tcPr>
            <w:tcW w:w="1467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 раз в месяц</w:t>
            </w:r>
          </w:p>
        </w:tc>
        <w:tc>
          <w:tcPr>
            <w:tcW w:w="1554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сотрудник внутреннего клининга</w:t>
            </w:r>
          </w:p>
          <w:p>
            <w:r/>
          </w:p>
        </w:tc>
        <w:tc>
          <w:tcPr>
            <w:tcW w:w="1586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визуальный контроль/сотрудник отдела качества</w:t>
            </w:r>
          </w:p>
          <w:p>
            <w:r/>
          </w:p>
        </w:tc>
      </w:tr>
      <w:tr>
        <w:tc>
          <w:tcPr>
            <w:tcW w:w="1809" w:type="dxa"/>
            <w:vMerge/>
          </w:tcPr>
          <w:p/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дезинфекция</w:t>
            </w:r>
          </w:p>
          <w:p/>
          <w:p/>
          <w:p/>
        </w:tc>
        <w:tc>
          <w:tcPr>
            <w:tcW w:w="426" w:type="dxa"/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417" w:type="dxa"/>
            <w:shd w:val="clear" w:color="auto" w:fill="FFFFCC"/>
          </w:tcPr>
          <w:p>
            <w:r>
              <w:rPr>
                <w:sz w:val="14"/>
                <w:rFonts w:ascii="Arial" w:hAnsi="Arial"/>
              </w:rPr>
              <w:t xml:space="preserve">ХИМИТЕК ПОЛИДЕЗ-СУПЕР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0,02-0,05 %, дозирующая система ProMax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20 мин</w:t>
            </w:r>
          </w:p>
        </w:tc>
        <w:tc>
          <w:tcPr>
            <w:tcW w:w="411" w:type="dxa"/>
            <w:vMerge/>
            <w:textDirection w:val="btLr"/>
          </w:tcPr>
          <w:p/>
        </w:tc>
        <w:tc>
          <w:tcPr>
            <w:tcW w:w="1467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2 раза в смену</w:t>
            </w:r>
          </w:p>
        </w:tc>
        <w:tc>
          <w:tcPr>
            <w:tcW w:w="1554" w:type="dxa"/>
            <w:vMerge/>
          </w:tcPr>
          <w:p/>
        </w:tc>
        <w:tc>
          <w:tcPr>
            <w:tcW w:w="1586" w:type="dxa"/>
            <w:vMerge/>
          </w:tcPr>
          <w:p/>
        </w:tc>
      </w:tr>
      <w:tr>
        <w:tc>
          <w:tcPr>
            <w:tcW w:w="1809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дверные ручки</w:t>
            </w:r>
          </w:p>
          <w:p>
            <w:r/>
          </w:p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мойка</w:t>
            </w:r>
          </w:p>
          <w:p/>
          <w:p/>
          <w:p/>
        </w:tc>
        <w:tc>
          <w:tcPr>
            <w:tcW w:w="426" w:type="dxa"/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417" w:type="dxa"/>
            <w:shd w:val="clear" w:color="auto" w:fill="99CCFF"/>
          </w:tcPr>
          <w:p>
            <w:r>
              <w:rPr>
                <w:sz w:val="14"/>
                <w:rFonts w:ascii="Arial" w:hAnsi="Arial"/>
              </w:rPr>
              <w:t xml:space="preserve">ХИМИТЕК ЧУДОДЕЙ®-ПОЛИПРОМ 190022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1,0 %, ручное разведение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411" w:type="dxa"/>
            <w:vMerge w:val="restart"/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>промаркированный</w:t>
            </w:r>
          </w:p>
          <w:p>
            <w:r/>
          </w:p>
        </w:tc>
        <w:tc>
          <w:tcPr>
            <w:tcW w:w="1467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 раз в месяц</w:t>
            </w:r>
          </w:p>
        </w:tc>
        <w:tc>
          <w:tcPr>
            <w:tcW w:w="1554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сотрудник внутреннего клининга</w:t>
            </w:r>
          </w:p>
          <w:p>
            <w:r/>
          </w:p>
        </w:tc>
        <w:tc>
          <w:tcPr>
            <w:tcW w:w="1586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визуальный контроль/сотрудник отдела качества</w:t>
            </w:r>
          </w:p>
          <w:p>
            <w:r/>
          </w:p>
        </w:tc>
      </w:tr>
      <w:tr>
        <w:tc>
          <w:tcPr>
            <w:tcW w:w="1809" w:type="dxa"/>
            <w:vMerge/>
          </w:tcPr>
          <w:p/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дезинфекция</w:t>
            </w:r>
          </w:p>
          <w:p/>
          <w:p/>
          <w:p/>
        </w:tc>
        <w:tc>
          <w:tcPr>
            <w:tcW w:w="426" w:type="dxa"/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417" w:type="dxa"/>
            <w:shd w:val="clear" w:color="auto" w:fill="FFFFCC"/>
          </w:tcPr>
          <w:p>
            <w:r>
              <w:rPr>
                <w:sz w:val="14"/>
                <w:rFonts w:ascii="Arial" w:hAnsi="Arial"/>
              </w:rPr>
              <w:t xml:space="preserve">ХИМИТЕК ПОЛИДЕЗ-СУПЕР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0,02-0,05 %, дозирующая система ProMax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20 мин</w:t>
            </w:r>
          </w:p>
        </w:tc>
        <w:tc>
          <w:tcPr>
            <w:tcW w:w="411" w:type="dxa"/>
            <w:vMerge/>
            <w:textDirection w:val="btLr"/>
          </w:tcPr>
          <w:p/>
        </w:tc>
        <w:tc>
          <w:tcPr>
            <w:tcW w:w="1467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2 раза в смену</w:t>
            </w:r>
          </w:p>
        </w:tc>
        <w:tc>
          <w:tcPr>
            <w:tcW w:w="1554" w:type="dxa"/>
            <w:vMerge/>
          </w:tcPr>
          <w:p/>
        </w:tc>
        <w:tc>
          <w:tcPr>
            <w:tcW w:w="1586" w:type="dxa"/>
            <w:vMerge/>
          </w:tcPr>
          <w:p/>
        </w:tc>
      </w:tr>
      <w:tr>
        <w:tc>
          <w:tcPr>
            <w:tcW w:w="1809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стены (до 2 м)</w:t>
            </w:r>
          </w:p>
          <w:p>
            <w:r/>
          </w:p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мойка</w:t>
            </w:r>
          </w:p>
          <w:p/>
          <w:p/>
          <w:p/>
        </w:tc>
        <w:tc>
          <w:tcPr>
            <w:tcW w:w="426" w:type="dxa"/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417" w:type="dxa"/>
            <w:shd w:val="clear" w:color="auto" w:fill="99CCFF"/>
          </w:tcPr>
          <w:p>
            <w:r>
              <w:rPr>
                <w:sz w:val="14"/>
                <w:rFonts w:ascii="Arial" w:hAnsi="Arial"/>
              </w:rPr>
              <w:t xml:space="preserve">ХИМИТЕК ЧУДОДЕЙ®-ПОЛИПРОМ 190022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1,0 %, ручное разведение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не ниже 40°C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411" w:type="dxa"/>
            <w:vMerge w:val="restart"/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>промаркированный</w:t>
            </w:r>
          </w:p>
          <w:p>
            <w:r/>
          </w:p>
        </w:tc>
        <w:tc>
          <w:tcPr>
            <w:tcW w:w="1467" w:type="dxa"/>
            <w:vMerge w:val="restart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 раз в месяц</w:t>
            </w:r>
          </w:p>
          <w:p>
            <w:r/>
          </w:p>
        </w:tc>
        <w:tc>
          <w:tcPr>
            <w:tcW w:w="1554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сотрудник внутреннего клининга</w:t>
            </w:r>
          </w:p>
          <w:p>
            <w:r/>
          </w:p>
        </w:tc>
        <w:tc>
          <w:tcPr>
            <w:tcW w:w="1586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визуальный контроль/сотрудник отдела качества</w:t>
            </w:r>
          </w:p>
          <w:p>
            <w:r/>
          </w:p>
        </w:tc>
      </w:tr>
      <w:tr>
        <w:tc>
          <w:tcPr>
            <w:tcW w:w="1809" w:type="dxa"/>
            <w:vMerge/>
          </w:tcPr>
          <w:p/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дезинфекция</w:t>
            </w:r>
          </w:p>
          <w:p/>
          <w:p/>
          <w:p/>
        </w:tc>
        <w:tc>
          <w:tcPr>
            <w:tcW w:w="426" w:type="dxa"/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417" w:type="dxa"/>
            <w:shd w:val="clear" w:color="auto" w:fill="FFFFCC"/>
          </w:tcPr>
          <w:p>
            <w:r>
              <w:rPr>
                <w:sz w:val="14"/>
                <w:rFonts w:ascii="Arial" w:hAnsi="Arial"/>
              </w:rPr>
              <w:t xml:space="preserve">ХИМИТЕК ПОЛИДЕЗ-СУПЕР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0,02-0,05 %, дозирующая система ProMax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20 мин</w:t>
            </w:r>
          </w:p>
        </w:tc>
        <w:tc>
          <w:tcPr>
            <w:tcW w:w="411" w:type="dxa"/>
            <w:vMerge/>
            <w:textDirection w:val="btLr"/>
          </w:tcPr>
          <w:p/>
        </w:tc>
        <w:tc>
          <w:tcPr>
            <w:tcW w:w="1467" w:type="dxa"/>
            <w:vMerge/>
          </w:tcPr>
          <w:p/>
        </w:tc>
        <w:tc>
          <w:tcPr>
            <w:tcW w:w="1554" w:type="dxa"/>
            <w:vMerge/>
          </w:tcPr>
          <w:p/>
        </w:tc>
        <w:tc>
          <w:tcPr>
            <w:tcW w:w="1586" w:type="dxa"/>
            <w:vMerge/>
          </w:tcPr>
          <w:p/>
        </w:tc>
      </w:tr>
      <w:tr>
        <w:tc>
          <w:tcPr>
            <w:tcW w:w="1809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отопительные приборы</w:t>
            </w:r>
          </w:p>
          <w:p>
            <w:r/>
          </w:p>
          <w:p>
            <w:r/>
          </w:p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обеспыливание</w:t>
            </w:r>
          </w:p>
          <w:p/>
          <w:p/>
          <w:p/>
        </w:tc>
        <w:tc>
          <w:tcPr>
            <w:tcW w:w="426" w:type="dxa"/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417" w:type="dxa"/>
          </w:tcPr>
          <w:p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411" w:type="dxa"/>
            <w:vMerge w:val="restart"/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>промаркированный</w:t>
            </w:r>
          </w:p>
          <w:p>
            <w:r/>
          </w:p>
          <w:p>
            <w:r/>
          </w:p>
        </w:tc>
        <w:tc>
          <w:tcPr>
            <w:tcW w:w="1467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 раз в месяц</w:t>
            </w:r>
          </w:p>
        </w:tc>
        <w:tc>
          <w:tcPr>
            <w:tcW w:w="1554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сотрудник внутреннего клининга</w:t>
            </w:r>
          </w:p>
          <w:p>
            <w:r/>
          </w:p>
          <w:p>
            <w:r/>
          </w:p>
        </w:tc>
        <w:tc>
          <w:tcPr>
            <w:tcW w:w="1586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визуальный контроль/сотрудник отдела качества</w:t>
            </w:r>
          </w:p>
          <w:p>
            <w:r/>
          </w:p>
          <w:p>
            <w:r/>
          </w:p>
        </w:tc>
      </w:tr>
      <w:tr>
        <w:tc>
          <w:tcPr>
            <w:tcW w:w="1809" w:type="dxa"/>
            <w:vMerge/>
          </w:tcPr>
          <w:p/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мойка</w:t>
            </w:r>
          </w:p>
          <w:p/>
          <w:p/>
          <w:p/>
        </w:tc>
        <w:tc>
          <w:tcPr>
            <w:tcW w:w="426" w:type="dxa"/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417" w:type="dxa"/>
            <w:shd w:val="clear" w:color="auto" w:fill="99CCFF"/>
          </w:tcPr>
          <w:p>
            <w:r>
              <w:rPr>
                <w:sz w:val="14"/>
                <w:rFonts w:ascii="Arial" w:hAnsi="Arial"/>
              </w:rPr>
              <w:t xml:space="preserve">ХИМИТЕК ЧУДОДЕЙ®-ПОЛИПРОМ 190022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1,0 %, ручное разведение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не ниже 40°C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411" w:type="dxa"/>
            <w:vMerge/>
            <w:textDirection w:val="btLr"/>
          </w:tcPr>
          <w:p/>
        </w:tc>
        <w:tc>
          <w:tcPr>
            <w:tcW w:w="1467" w:type="dxa"/>
            <w:vMerge w:val="restart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 раз в 6 месяцев</w:t>
            </w:r>
          </w:p>
          <w:p>
            <w:r/>
          </w:p>
        </w:tc>
        <w:tc>
          <w:tcPr>
            <w:tcW w:w="1554" w:type="dxa"/>
            <w:vMerge/>
          </w:tcPr>
          <w:p/>
        </w:tc>
        <w:tc>
          <w:tcPr>
            <w:tcW w:w="1586" w:type="dxa"/>
            <w:vMerge/>
          </w:tcPr>
          <w:p/>
        </w:tc>
      </w:tr>
      <w:tr>
        <w:tc>
          <w:tcPr>
            <w:tcW w:w="1809" w:type="dxa"/>
            <w:vMerge/>
          </w:tcPr>
          <w:p/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дезинфекция</w:t>
            </w:r>
          </w:p>
          <w:p/>
          <w:p/>
          <w:p/>
        </w:tc>
        <w:tc>
          <w:tcPr>
            <w:tcW w:w="426" w:type="dxa"/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417" w:type="dxa"/>
            <w:shd w:val="clear" w:color="auto" w:fill="FFFFCC"/>
          </w:tcPr>
          <w:p>
            <w:r>
              <w:rPr>
                <w:sz w:val="14"/>
                <w:rFonts w:ascii="Arial" w:hAnsi="Arial"/>
              </w:rPr>
              <w:t xml:space="preserve">ХИМИТЕК ПОЛИДЕЗ-СУПЕР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0,02-0,05 %, дозирующая система ProMax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20 мин</w:t>
            </w:r>
          </w:p>
        </w:tc>
        <w:tc>
          <w:tcPr>
            <w:tcW w:w="411" w:type="dxa"/>
            <w:vMerge/>
            <w:textDirection w:val="btLr"/>
          </w:tcPr>
          <w:p/>
        </w:tc>
        <w:tc>
          <w:tcPr>
            <w:tcW w:w="1467" w:type="dxa"/>
            <w:vMerge/>
          </w:tcPr>
          <w:p/>
        </w:tc>
        <w:tc>
          <w:tcPr>
            <w:tcW w:w="1554" w:type="dxa"/>
            <w:vMerge/>
          </w:tcPr>
          <w:p/>
        </w:tc>
        <w:tc>
          <w:tcPr>
            <w:tcW w:w="1586" w:type="dxa"/>
            <w:vMerge/>
          </w:tcPr>
          <w:p/>
        </w:tc>
      </w:tr>
      <w:tr>
        <w:tc>
          <w:tcPr>
            <w:tcW w:w="1809" w:type="dxa"/>
          </w:tcPr>
          <w:p>
            <w:r>
              <w:rPr>
                <w:sz w:val="14"/>
                <w:rFonts w:ascii="Arial" w:hAnsi="Arial"/>
              </w:rPr>
              <w:t xml:space="preserve">зеркала, окна внешние</w:t>
            </w:r>
          </w:p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мойка</w:t>
            </w:r>
          </w:p>
          <w:p/>
          <w:p/>
          <w:p/>
        </w:tc>
        <w:tc>
          <w:tcPr>
            <w:tcW w:w="426" w:type="dxa"/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417" w:type="dxa"/>
            <w:shd w:val="clear" w:color="auto" w:fill="99CCFF"/>
          </w:tcPr>
          <w:p>
            <w:r>
              <w:rPr>
                <w:sz w:val="14"/>
                <w:rFonts w:ascii="Arial" w:hAnsi="Arial"/>
              </w:rPr>
              <w:t xml:space="preserve">ХИМИТЕК ЧУДОДЕЙ®-ПОЛИПРОМ 190022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1,0 %, ручное разведение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411" w:type="dxa"/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>промаркированный</w:t>
            </w:r>
          </w:p>
        </w:tc>
        <w:tc>
          <w:tcPr>
            <w:tcW w:w="1467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 раз в неделю</w:t>
            </w:r>
          </w:p>
        </w:tc>
        <w:tc>
          <w:tcPr>
            <w:tcW w:w="1554" w:type="dxa"/>
          </w:tcPr>
          <w:p>
            <w:r>
              <w:rPr>
                <w:sz w:val="14"/>
                <w:rFonts w:ascii="Arial" w:hAnsi="Arial"/>
              </w:rPr>
              <w:t xml:space="preserve">сотрудник внутреннего клининга</w:t>
            </w:r>
          </w:p>
        </w:tc>
        <w:tc>
          <w:tcPr>
            <w:tcW w:w="1586" w:type="dxa"/>
          </w:tcPr>
          <w:p>
            <w:r>
              <w:rPr>
                <w:sz w:val="14"/>
                <w:rFonts w:ascii="Arial" w:hAnsi="Arial"/>
              </w:rPr>
              <w:t xml:space="preserve">визуальный контроль/сотрудник отдела качества</w:t>
            </w:r>
          </w:p>
        </w:tc>
      </w:tr>
      <w:tr>
        <w:tc>
          <w:tcPr>
            <w:tcW w:w="1809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вешалки, обувницы, скамейки</w:t>
            </w:r>
          </w:p>
          <w:p>
            <w:r/>
          </w:p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мойка</w:t>
            </w:r>
          </w:p>
          <w:p/>
          <w:p/>
          <w:p/>
        </w:tc>
        <w:tc>
          <w:tcPr>
            <w:tcW w:w="426" w:type="dxa"/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417" w:type="dxa"/>
            <w:shd w:val="clear" w:color="auto" w:fill="99CCFF"/>
          </w:tcPr>
          <w:p>
            <w:r>
              <w:rPr>
                <w:sz w:val="14"/>
                <w:rFonts w:ascii="Arial" w:hAnsi="Arial"/>
              </w:rPr>
              <w:t xml:space="preserve">ХИМИТЕК ЧУДОДЕЙ®-ПОЛИПРОМ 190022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1,0 %, ручное разведение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не ниже 40°C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411" w:type="dxa"/>
            <w:vMerge w:val="restart"/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>промаркированный</w:t>
            </w:r>
          </w:p>
          <w:p>
            <w:r/>
          </w:p>
        </w:tc>
        <w:tc>
          <w:tcPr>
            <w:tcW w:w="1467" w:type="dxa"/>
            <w:vMerge w:val="restart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 раз в неделю</w:t>
            </w:r>
          </w:p>
          <w:p>
            <w:r/>
          </w:p>
        </w:tc>
        <w:tc>
          <w:tcPr>
            <w:tcW w:w="1554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сотрудник внутреннего клининга</w:t>
            </w:r>
          </w:p>
          <w:p>
            <w:r/>
          </w:p>
        </w:tc>
        <w:tc>
          <w:tcPr>
            <w:tcW w:w="1586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визуальный контроль/сотрудник отдела качества</w:t>
            </w:r>
          </w:p>
          <w:p>
            <w:r/>
          </w:p>
        </w:tc>
      </w:tr>
      <w:tr>
        <w:tc>
          <w:tcPr>
            <w:tcW w:w="1809" w:type="dxa"/>
            <w:vMerge/>
          </w:tcPr>
          <w:p/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дезинфекция</w:t>
            </w:r>
          </w:p>
          <w:p/>
          <w:p/>
          <w:p/>
        </w:tc>
        <w:tc>
          <w:tcPr>
            <w:tcW w:w="426" w:type="dxa"/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417" w:type="dxa"/>
            <w:shd w:val="clear" w:color="auto" w:fill="FFFFCC"/>
          </w:tcPr>
          <w:p>
            <w:r>
              <w:rPr>
                <w:sz w:val="14"/>
                <w:rFonts w:ascii="Arial" w:hAnsi="Arial"/>
              </w:rPr>
              <w:t xml:space="preserve">ХИМИТЕК ПОЛИДЕЗ-СУПЕР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0,02-0,05 %, дозирующая система ProMax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20 мин</w:t>
            </w:r>
          </w:p>
        </w:tc>
        <w:tc>
          <w:tcPr>
            <w:tcW w:w="411" w:type="dxa"/>
            <w:vMerge/>
            <w:textDirection w:val="btLr"/>
          </w:tcPr>
          <w:p/>
        </w:tc>
        <w:tc>
          <w:tcPr>
            <w:tcW w:w="1467" w:type="dxa"/>
            <w:vMerge/>
          </w:tcPr>
          <w:p/>
        </w:tc>
        <w:tc>
          <w:tcPr>
            <w:tcW w:w="1554" w:type="dxa"/>
            <w:vMerge/>
          </w:tcPr>
          <w:p/>
        </w:tc>
        <w:tc>
          <w:tcPr>
            <w:tcW w:w="1586" w:type="dxa"/>
            <w:vMerge/>
          </w:tcPr>
          <w:p/>
        </w:tc>
      </w:tr>
      <w:tr>
        <w:tc>
          <w:tcPr>
            <w:tcW w:w="1809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шкафы</w:t>
            </w:r>
          </w:p>
          <w:p>
            <w:r/>
          </w:p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мойка</w:t>
            </w:r>
          </w:p>
          <w:p/>
          <w:p/>
          <w:p/>
        </w:tc>
        <w:tc>
          <w:tcPr>
            <w:tcW w:w="426" w:type="dxa"/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417" w:type="dxa"/>
            <w:shd w:val="clear" w:color="auto" w:fill="99CCFF"/>
          </w:tcPr>
          <w:p>
            <w:r>
              <w:rPr>
                <w:sz w:val="14"/>
                <w:rFonts w:ascii="Arial" w:hAnsi="Arial"/>
              </w:rPr>
              <w:t xml:space="preserve">ХИМИТЕК ЧУДОДЕЙ®-ПОЛИПРОМ 190022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1,0 %, ручное разведение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411" w:type="dxa"/>
            <w:vMerge w:val="restart"/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>промаркированный</w:t>
            </w:r>
          </w:p>
          <w:p>
            <w:r/>
          </w:p>
        </w:tc>
        <w:tc>
          <w:tcPr>
            <w:tcW w:w="1467" w:type="dxa"/>
            <w:vMerge w:val="restart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 раз в неделю</w:t>
            </w:r>
          </w:p>
          <w:p>
            <w:r/>
          </w:p>
        </w:tc>
        <w:tc>
          <w:tcPr>
            <w:tcW w:w="1554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сотрудник внутреннего клининга</w:t>
            </w:r>
          </w:p>
          <w:p>
            <w:r/>
          </w:p>
        </w:tc>
        <w:tc>
          <w:tcPr>
            <w:tcW w:w="1586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визуальный контроль/сотрудник отдела качества</w:t>
            </w:r>
          </w:p>
          <w:p>
            <w:r/>
          </w:p>
        </w:tc>
      </w:tr>
      <w:tr>
        <w:tc>
          <w:tcPr>
            <w:tcW w:w="1809" w:type="dxa"/>
            <w:vMerge/>
          </w:tcPr>
          <w:p/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дезинфекция</w:t>
            </w:r>
          </w:p>
          <w:p/>
          <w:p/>
          <w:p/>
        </w:tc>
        <w:tc>
          <w:tcPr>
            <w:tcW w:w="426" w:type="dxa"/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417" w:type="dxa"/>
            <w:shd w:val="clear" w:color="auto" w:fill="FFFFCC"/>
          </w:tcPr>
          <w:p>
            <w:r>
              <w:rPr>
                <w:sz w:val="14"/>
                <w:rFonts w:ascii="Arial" w:hAnsi="Arial"/>
              </w:rPr>
              <w:t xml:space="preserve">ХИМИТЕК ПОЛИДЕЗ-СУПЕР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0,02-0,05 %, дозирующая система ProMax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20 мин</w:t>
            </w:r>
          </w:p>
        </w:tc>
        <w:tc>
          <w:tcPr>
            <w:tcW w:w="411" w:type="dxa"/>
            <w:vMerge/>
            <w:textDirection w:val="btLr"/>
          </w:tcPr>
          <w:p/>
        </w:tc>
        <w:tc>
          <w:tcPr>
            <w:tcW w:w="1467" w:type="dxa"/>
            <w:vMerge/>
          </w:tcPr>
          <w:p/>
        </w:tc>
        <w:tc>
          <w:tcPr>
            <w:tcW w:w="1554" w:type="dxa"/>
            <w:vMerge/>
          </w:tcPr>
          <w:p/>
        </w:tc>
        <w:tc>
          <w:tcPr>
            <w:tcW w:w="1586" w:type="dxa"/>
            <w:vMerge/>
          </w:tcPr>
          <w:p/>
        </w:tc>
      </w:tr>
      <w:tr>
        <w:tc>
          <w:tcPr>
            <w:tcW w:w="15350" w:type="dxa"/>
            <w:gridSpan w:val="12"/>
          </w:tcPr>
          <w:p>
            <w:r>
              <w:rPr>
                <w:b/>
                <w:sz w:val="14"/>
                <w:rFonts w:ascii="Arial" w:hAnsi="Arial"/>
              </w:rPr>
              <w:t xml:space="preserve">Объекты без инструкций (требуют настройки)</w:t>
            </w:r>
          </w:p>
          <w:p/>
          <w:p/>
          <w:p/>
        </w:tc>
      </w:tr>
      <w:tr>
        <w:tc>
          <w:tcPr>
            <w:tcW w:w="1809" w:type="dxa"/>
          </w:tcPr>
          <w:p>
            <w:r>
              <w:rPr>
                <w:sz w:val="14"/>
                <w:rFonts w:ascii="Arial" w:hAnsi="Arial"/>
              </w:rPr>
              <w:t xml:space="preserve">контейнеры для отходов</w:t>
            </w:r>
          </w:p>
        </w:tc>
        <w:tc>
          <w:tcPr>
            <w:tcW w:w="1134" w:type="dxa"/>
          </w:tcPr>
          <w:p/>
          <w:p/>
          <w:p/>
          <w:p/>
        </w:tc>
        <w:tc>
          <w:tcPr>
            <w:tcW w:w="426" w:type="dxa"/>
            <w:textDirection w:val="btLr"/>
          </w:tcPr>
          <w:p>
            <w:pPr>
              <w:ind w:left="113" w:right="113"/>
              <w:jc w:val="center"/>
            </w:pPr>
          </w:p>
        </w:tc>
        <w:tc>
          <w:tcPr>
            <w:tcW w:w="1417" w:type="dxa"/>
          </w:tcPr>
          <w:p/>
        </w:tc>
        <w:tc>
          <w:tcPr>
            <w:tcW w:w="1276" w:type="dxa"/>
          </w:tcPr>
          <w:p/>
        </w:tc>
        <w:tc>
          <w:tcPr>
            <w:tcW w:w="1990" w:type="dxa"/>
          </w:tcPr>
          <w:p>
            <w:pPr>
              <w:jc w:val="center"/>
            </w:pPr>
          </w:p>
        </w:tc>
        <w:tc>
          <w:tcPr>
            <w:tcW w:w="1248" w:type="dxa"/>
          </w:tcPr>
          <w:p>
            <w:pPr>
              <w:jc w:val="center"/>
            </w:pPr>
          </w:p>
        </w:tc>
        <w:tc>
          <w:tcPr>
            <w:tcW w:w="1032" w:type="dxa"/>
          </w:tcPr>
          <w:p>
            <w:pPr>
              <w:jc w:val="center"/>
            </w:pPr>
          </w:p>
        </w:tc>
        <w:tc>
          <w:tcPr>
            <w:tcW w:w="411" w:type="dxa"/>
            <w:textDirection w:val="btLr"/>
          </w:tcPr>
          <w:p>
            <w:pPr>
              <w:ind w:left="113" w:right="113"/>
              <w:jc w:val="center"/>
            </w:pPr>
          </w:p>
        </w:tc>
        <w:tc>
          <w:tcPr>
            <w:tcW w:w="1467" w:type="dxa"/>
          </w:tcPr>
          <w:p>
            <w:pPr>
              <w:jc w:val="center"/>
            </w:pPr>
          </w:p>
        </w:tc>
        <w:tc>
          <w:tcPr>
            <w:tcW w:w="1554" w:type="dxa"/>
          </w:tcPr>
          <w:p/>
        </w:tc>
        <w:tc>
          <w:tcPr>
            <w:tcW w:w="1586" w:type="dxa"/>
          </w:tcPr>
          <w:p/>
        </w:tc>
      </w:tr>
      <w:tr>
        <w:tc>
          <w:tcPr>
            <w:tcW w:w="1809" w:type="dxa"/>
          </w:tcPr>
          <w:p>
            <w:r>
              <w:rPr>
                <w:sz w:val="14"/>
                <w:rFonts w:ascii="Arial" w:hAnsi="Arial"/>
              </w:rPr>
              <w:t xml:space="preserve">мусорные корзины</w:t>
            </w:r>
          </w:p>
        </w:tc>
        <w:tc>
          <w:tcPr>
            <w:tcW w:w="1134" w:type="dxa"/>
          </w:tcPr>
          <w:p/>
          <w:p/>
          <w:p/>
          <w:p/>
        </w:tc>
        <w:tc>
          <w:tcPr>
            <w:tcW w:w="426" w:type="dxa"/>
            <w:textDirection w:val="btLr"/>
          </w:tcPr>
          <w:p>
            <w:pPr>
              <w:ind w:left="113" w:right="113"/>
              <w:jc w:val="center"/>
            </w:pPr>
          </w:p>
        </w:tc>
        <w:tc>
          <w:tcPr>
            <w:tcW w:w="1417" w:type="dxa"/>
          </w:tcPr>
          <w:p/>
        </w:tc>
        <w:tc>
          <w:tcPr>
            <w:tcW w:w="1276" w:type="dxa"/>
          </w:tcPr>
          <w:p/>
        </w:tc>
        <w:tc>
          <w:tcPr>
            <w:tcW w:w="1990" w:type="dxa"/>
          </w:tcPr>
          <w:p>
            <w:pPr>
              <w:jc w:val="center"/>
            </w:pPr>
          </w:p>
        </w:tc>
        <w:tc>
          <w:tcPr>
            <w:tcW w:w="1248" w:type="dxa"/>
          </w:tcPr>
          <w:p>
            <w:pPr>
              <w:jc w:val="center"/>
            </w:pPr>
          </w:p>
        </w:tc>
        <w:tc>
          <w:tcPr>
            <w:tcW w:w="1032" w:type="dxa"/>
          </w:tcPr>
          <w:p>
            <w:pPr>
              <w:jc w:val="center"/>
            </w:pPr>
          </w:p>
        </w:tc>
        <w:tc>
          <w:tcPr>
            <w:tcW w:w="411" w:type="dxa"/>
            <w:textDirection w:val="btLr"/>
          </w:tcPr>
          <w:p>
            <w:pPr>
              <w:ind w:left="113" w:right="113"/>
              <w:jc w:val="center"/>
            </w:pPr>
          </w:p>
        </w:tc>
        <w:tc>
          <w:tcPr>
            <w:tcW w:w="1467" w:type="dxa"/>
          </w:tcPr>
          <w:p>
            <w:pPr>
              <w:jc w:val="center"/>
            </w:pPr>
          </w:p>
        </w:tc>
        <w:tc>
          <w:tcPr>
            <w:tcW w:w="1554" w:type="dxa"/>
          </w:tcPr>
          <w:p/>
        </w:tc>
        <w:tc>
          <w:tcPr>
            <w:tcW w:w="1586" w:type="dxa"/>
          </w:tcPr>
          <w:p/>
        </w:tc>
      </w:tr>
    </w:tbl>
    <w:p w14:paraId="1125F6E1" w14:textId="77777777" w:rsidR="00651E07" w:rsidRPr="00F46EC6" w:rsidRDefault="00651E07">
      <w:pPr>
        <w:rPr>
          <w:szCs w:val="16"/>
          <w:lang w:val="ru-RU"/>
        </w:rPr>
      </w:pPr>
    </w:p>
    <w:sectPr w:rsidR="00651E07" w:rsidRPr="00F46EC6" w:rsidSect="00034616">
      <w:pgSz w:w="16834" w:h="11909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7678C"/>
    <w:rsid w:val="0015074B"/>
    <w:rsid w:val="001B0CB7"/>
    <w:rsid w:val="0029639D"/>
    <w:rsid w:val="002E22D8"/>
    <w:rsid w:val="00326F90"/>
    <w:rsid w:val="003929CB"/>
    <w:rsid w:val="003A09C1"/>
    <w:rsid w:val="00482BBC"/>
    <w:rsid w:val="00516913"/>
    <w:rsid w:val="00517A50"/>
    <w:rsid w:val="005F44C2"/>
    <w:rsid w:val="00613080"/>
    <w:rsid w:val="00651E07"/>
    <w:rsid w:val="00774E99"/>
    <w:rsid w:val="008A1E21"/>
    <w:rsid w:val="00916DBB"/>
    <w:rsid w:val="00936880"/>
    <w:rsid w:val="009854F1"/>
    <w:rsid w:val="009A41C5"/>
    <w:rsid w:val="00A35AF6"/>
    <w:rsid w:val="00A4151D"/>
    <w:rsid w:val="00A71393"/>
    <w:rsid w:val="00AA1D8D"/>
    <w:rsid w:val="00AB3DDB"/>
    <w:rsid w:val="00B47730"/>
    <w:rsid w:val="00B71010"/>
    <w:rsid w:val="00B9644C"/>
    <w:rsid w:val="00BC56A5"/>
    <w:rsid w:val="00BD41F2"/>
    <w:rsid w:val="00BD540B"/>
    <w:rsid w:val="00CB0664"/>
    <w:rsid w:val="00CB2608"/>
    <w:rsid w:val="00D4325D"/>
    <w:rsid w:val="00D670C1"/>
    <w:rsid w:val="00DE2E6A"/>
    <w:rsid w:val="00DE3817"/>
    <w:rsid w:val="00EC3035"/>
    <w:rsid w:val="00F46EC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73FE924"/>
  <w14:defaultImageDpi w14:val="300"/>
  <w15:docId w15:val="{047E8D79-050D-4628-B751-35F2872B84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Theme="minorEastAsia" w:hAnsi="Arial" w:cs="Arial"/>
        <w:sz w:val="14"/>
        <w:szCs w:val="14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  <w:rPr>
      <w:lang w:val="ru-RU"/>
    </w:rPr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  <w:rPr>
      <w:lang w:val="ru-RU"/>
    </w:rPr>
  </w:style>
  <w:style w:type="paragraph" w:styleId="a9">
    <w:name w:val="No Spacing"/>
    <w:uiPriority w:val="1"/>
    <w:qFormat/>
    <w:rsid w:val="00FC693F"/>
    <w:pPr>
      <w:spacing w:after="0" w:line="240" w:lineRule="auto"/>
    </w:pPr>
    <w:rPr>
      <w:lang w:val="ru-RU"/>
    </w:r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ru-RU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ru-RU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ru-RU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ru-RU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ru-RU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  <w:rPr>
      <w:lang w:val="ru-RU"/>
    </w:rPr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  <w:rPr>
      <w:lang w:val="ru-RU"/>
    </w:rPr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  <w:lang w:val="ru-RU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ru-RU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  <w:lang w:val="ru-RU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  <w:lang w:val="ru-RU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ru-RU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ru-RU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ru-RU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ru-RU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ru-RU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ru-RU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qFormat/>
    <w:rsid w:val="00FC693F"/>
    <w:rPr>
      <w:b/>
      <w:bCs/>
      <w:lang w:val="ru-RU"/>
    </w:rPr>
  </w:style>
  <w:style w:type="character" w:styleId="af7">
    <w:name w:val="Emphasis"/>
    <w:basedOn w:val="a2"/>
    <w:uiPriority w:val="20"/>
    <w:qFormat/>
    <w:rsid w:val="00FC693F"/>
    <w:rPr>
      <w:i/>
      <w:iCs/>
      <w:lang w:val="ru-RU"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  <w:lang w:val="ru-RU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  <w:lang w:val="ru-RU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  <w:lang w:val="ru-RU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  <w:lang w:val="ru-RU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  <w:lang w:val="ru-RU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  <w:lang w:val="ru-RU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rPr>
      <w:lang w:val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  <w:lang w:val="ru-RU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  <w:lang w:val="ru-RU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  <w:lang w:val="ru-RU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  <w:lang w:val="ru-RU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  <w:lang w:val="ru-RU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  <w:lang w:val="ru-RU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  <w:lang w:val="ru-RU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Col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Col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Col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Col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Col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Col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Col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lastRow">
      <w:tblPr/>
      <w:tcPr>
        <w:tcBorders>
          <w:top w:val="single" w:sz="18" w:space="0" w:color="404040" w:themeColor="text1" w:themeTint="BF"/>
        </w:tcBorders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lastRow">
      <w:tblPr/>
      <w:tcPr>
        <w:tcBorders>
          <w:top w:val="single" w:sz="18" w:space="0" w:color="7BA0CD" w:themeColor="accent1" w:themeTint="BF"/>
        </w:tcBorders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lastRow">
      <w:tblPr/>
      <w:tcPr>
        <w:tcBorders>
          <w:top w:val="single" w:sz="18" w:space="0" w:color="CF7B79" w:themeColor="accent2" w:themeTint="BF"/>
        </w:tcBorders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lastRow">
      <w:tblPr/>
      <w:tcPr>
        <w:tcBorders>
          <w:top w:val="single" w:sz="18" w:space="0" w:color="B3CC82" w:themeColor="accent3" w:themeTint="BF"/>
        </w:tcBorders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lastRow">
      <w:tblPr/>
      <w:tcPr>
        <w:tcBorders>
          <w:top w:val="single" w:sz="18" w:space="0" w:color="9F8AB9" w:themeColor="accent4" w:themeTint="BF"/>
        </w:tcBorders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lastRow">
      <w:tblPr/>
      <w:tcPr>
        <w:tcBorders>
          <w:top w:val="single" w:sz="18" w:space="0" w:color="78C0D4" w:themeColor="accent5" w:themeTint="BF"/>
        </w:tcBorders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lastRow">
      <w:tblPr/>
      <w:tcPr>
        <w:tcBorders>
          <w:top w:val="single" w:sz="18" w:space="0" w:color="F9B074" w:themeColor="accent6" w:themeTint="BF"/>
        </w:tcBorders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1</Pages>
  <Words>99</Words>
  <Characters>570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668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Перевозчиков Владимир Геннадьевич</cp:lastModifiedBy>
  <cp:revision>32</cp:revision>
  <dcterms:created xsi:type="dcterms:W3CDTF">2013-12-23T23:15:00Z</dcterms:created>
  <dcterms:modified xsi:type="dcterms:W3CDTF">2026-05-07T08:01:00Z</dcterms:modified>
  <cp:category/>
</cp:coreProperties>
</file>