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  <w:b/>
              </w:rPr>
              <w:t xml:space="preserve">холодильные шкафы</w:t>
            </w:r>
          </w:p>
          <w:p>
            <w:r/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2,0%,
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0,05 %,</w:t>
            </w:r>
            <w:r>
              <w:br/>
            </w:r>
            <w:r>
              <w:rPr>
                <w:rFonts w:ascii="Arial" w:hAnsi="Arial"/>
                <w:sz w:val="14"/>
              </w:rPr>
              <w:t xml:space="preserve"> (по НУК),</w:t>
              <w:br/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2,0%,
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0,05 %,</w:t>
            </w:r>
            <w:r>
              <w:br/>
            </w:r>
            <w:r>
              <w:rPr>
                <w:rFonts w:ascii="Arial" w:hAnsi="Arial"/>
                <w:sz w:val="14"/>
              </w:rPr>
              <w:t xml:space="preserve"> (по НУК),</w:t>
              <w:br/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