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A1A7" w14:textId="77777777" w:rsidR="00B625FD" w:rsidRPr="008D25E1" w:rsidRDefault="00B625FD" w:rsidP="00B625FD">
      <w:pPr>
        <w:jc w:val="center"/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 w:rsidRPr="008D25E1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Azure Management Group Hierarchy Design</w:t>
      </w:r>
    </w:p>
    <w:p w14:paraId="763DB7A8" w14:textId="4133B1D0" w:rsidR="00B625FD" w:rsidRPr="008D25E1" w:rsidRDefault="00B625FD" w:rsidP="00B625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25E1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Governance</w:t>
      </w:r>
    </w:p>
    <w:p w14:paraId="6A88C8B4" w14:textId="77777777" w:rsidR="00B625FD" w:rsidRPr="00027012" w:rsidRDefault="00B625FD" w:rsidP="00B625F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056200" w14:textId="3EA90BFD" w:rsidR="00B625FD" w:rsidRPr="008D25E1" w:rsidRDefault="00B625FD" w:rsidP="00905D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5E1">
        <w:rPr>
          <w:rFonts w:ascii="Times New Roman" w:hAnsi="Times New Roman" w:cs="Times New Roman"/>
          <w:b/>
          <w:bCs/>
          <w:sz w:val="24"/>
          <w:szCs w:val="24"/>
        </w:rPr>
        <w:t>ABSTRACT:</w:t>
      </w:r>
    </w:p>
    <w:p w14:paraId="02324689" w14:textId="2171E25A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>Designing an Azure Management Group (MG) hierarchy requires balancing organizational alignment with governance guardrails. When designing for scale, Microsoft Cloud Adoption Framework (CAF) guidance prioritizes archetype-based or environment-based boundaries over purely organizational ones, though departmental splits are common in enterprise structures.</w:t>
      </w:r>
    </w:p>
    <w:p w14:paraId="5DC89D41" w14:textId="77777777" w:rsidR="00905D6D" w:rsidRPr="00354683" w:rsidRDefault="00905D6D" w:rsidP="00905D6D">
      <w:pPr>
        <w:rPr>
          <w:rFonts w:ascii="Times New Roman" w:hAnsi="Times New Roman" w:cs="Times New Roman"/>
          <w:sz w:val="28"/>
          <w:szCs w:val="28"/>
        </w:rPr>
      </w:pPr>
      <w:r w:rsidRPr="00027012">
        <w:rPr>
          <w:rFonts w:ascii="Times New Roman" w:hAnsi="Times New Roman" w:cs="Times New Roman"/>
        </w:rPr>
        <w:br/>
      </w:r>
    </w:p>
    <w:p w14:paraId="7445BC40" w14:textId="77777777" w:rsidR="00905D6D" w:rsidRPr="00354683" w:rsidRDefault="00905D6D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683">
        <w:rPr>
          <w:rFonts w:ascii="Times New Roman" w:hAnsi="Times New Roman" w:cs="Times New Roman"/>
          <w:b/>
          <w:bCs/>
          <w:sz w:val="28"/>
          <w:szCs w:val="28"/>
        </w:rPr>
        <w:t>4-Department Azure Hierarchy Architecture</w:t>
      </w:r>
    </w:p>
    <w:p w14:paraId="3253DAD6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To support four departments (e.g., HR, Finance, Engineering, Operations) while adhering to Azure governance best practices, avoid placing departments directly under the Tenant Root Group. Instead, group them under a dedicated </w:t>
      </w:r>
      <w:r w:rsidRPr="00027012">
        <w:rPr>
          <w:rFonts w:ascii="Times New Roman" w:hAnsi="Times New Roman" w:cs="Times New Roman"/>
          <w:b/>
          <w:bCs/>
        </w:rPr>
        <w:t>Landing Zones</w:t>
      </w:r>
      <w:r w:rsidRPr="00027012">
        <w:rPr>
          <w:rFonts w:ascii="Times New Roman" w:hAnsi="Times New Roman" w:cs="Times New Roman"/>
        </w:rPr>
        <w:t xml:space="preserve"> archetype layer.</w:t>
      </w:r>
    </w:p>
    <w:p w14:paraId="2B35C3C2" w14:textId="42E7D98E" w:rsidR="0061508D" w:rsidRPr="00027012" w:rsidRDefault="00905D6D" w:rsidP="00905D6D">
      <w:pPr>
        <w:rPr>
          <w:rFonts w:ascii="Times New Roman" w:hAnsi="Times New Roman" w:cs="Times New Roman"/>
          <w:b/>
          <w:bCs/>
        </w:rPr>
      </w:pPr>
      <w:r w:rsidRPr="00027012">
        <w:rPr>
          <w:rFonts w:ascii="Times New Roman" w:hAnsi="Times New Roman" w:cs="Times New Roman"/>
        </w:rPr>
        <w:br/>
      </w:r>
      <w:r w:rsidR="00AB78BA" w:rsidRPr="00027012">
        <w:rPr>
          <w:rFonts w:ascii="Times New Roman" w:hAnsi="Times New Roman" w:cs="Times New Roman"/>
        </w:rPr>
        <w:drawing>
          <wp:inline distT="0" distB="0" distL="0" distR="0" wp14:anchorId="5391E4BE" wp14:editId="594575FE">
            <wp:extent cx="5731510" cy="2853690"/>
            <wp:effectExtent l="0" t="0" r="2540" b="3810"/>
            <wp:docPr id="154268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8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1189" w14:textId="77777777" w:rsidR="0061508D" w:rsidRPr="00027012" w:rsidRDefault="0061508D" w:rsidP="00905D6D">
      <w:pPr>
        <w:rPr>
          <w:rFonts w:ascii="Times New Roman" w:hAnsi="Times New Roman" w:cs="Times New Roman"/>
          <w:b/>
          <w:bCs/>
        </w:rPr>
      </w:pPr>
    </w:p>
    <w:p w14:paraId="649200E3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31F439A7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255749A2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309E1955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4B38F47C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33A117E0" w14:textId="77777777" w:rsidR="00160252" w:rsidRDefault="00160252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27F33" w14:textId="28D5F83D" w:rsidR="00905D6D" w:rsidRPr="00354683" w:rsidRDefault="00905D6D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683">
        <w:rPr>
          <w:rFonts w:ascii="Times New Roman" w:hAnsi="Times New Roman" w:cs="Times New Roman"/>
          <w:b/>
          <w:bCs/>
          <w:sz w:val="28"/>
          <w:szCs w:val="28"/>
        </w:rPr>
        <w:lastRenderedPageBreak/>
        <w:t>Hierarchy Breakdown &amp; Subscriptions</w:t>
      </w:r>
      <w:r w:rsidR="00027012" w:rsidRPr="003546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7B6C9C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2061"/>
        <w:gridCol w:w="4937"/>
      </w:tblGrid>
      <w:tr w:rsidR="00905D6D" w:rsidRPr="00027012" w14:paraId="33E03B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A4D1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9EDF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Management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4ACA7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Purpose &amp; Subscriptions</w:t>
            </w:r>
          </w:p>
        </w:tc>
      </w:tr>
      <w:tr w:rsidR="00905D6D" w:rsidRPr="00027012" w14:paraId="70687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916A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66BA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Tenant Root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B187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Global top-level container. Apply company-wide foundational rules (e.g., region lock, baseline security).</w:t>
            </w:r>
          </w:p>
        </w:tc>
      </w:tr>
      <w:tr w:rsidR="00905D6D" w:rsidRPr="00027012" w14:paraId="1B19A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DB3D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AD85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929E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 xml:space="preserve">Infrastructure operations shared across the org (Hub </w:t>
            </w:r>
            <w:proofErr w:type="spellStart"/>
            <w:r w:rsidRPr="00027012">
              <w:rPr>
                <w:rFonts w:ascii="Times New Roman" w:hAnsi="Times New Roman" w:cs="Times New Roman"/>
              </w:rPr>
              <w:t>VNets</w:t>
            </w:r>
            <w:proofErr w:type="spellEnd"/>
            <w:r w:rsidRPr="00027012">
              <w:rPr>
                <w:rFonts w:ascii="Times New Roman" w:hAnsi="Times New Roman" w:cs="Times New Roman"/>
              </w:rPr>
              <w:t>, Log Analytics, Domain Controllers).</w:t>
            </w:r>
          </w:p>
        </w:tc>
      </w:tr>
      <w:tr w:rsidR="00905D6D" w:rsidRPr="00027012" w14:paraId="4E4FD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5E7E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Landing Zones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DA0C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Landing Zones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FC2C6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Root for business workloads (HR, Finance, Engineering, Ops).</w:t>
            </w:r>
          </w:p>
        </w:tc>
      </w:tr>
      <w:tr w:rsidR="00905D6D" w:rsidRPr="00027012" w14:paraId="2AD7D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A72F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B29B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[Dept] MG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FB9CD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Grouping for departmental workloads (e.g., HR-MG, Eng-MG). Houses production and non-production subscriptions for that department.</w:t>
            </w:r>
          </w:p>
        </w:tc>
      </w:tr>
      <w:tr w:rsidR="00905D6D" w:rsidRPr="00027012" w14:paraId="54BBB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8E90D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  <w:b/>
                <w:bCs/>
              </w:rPr>
              <w:t>Decommissioned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7696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Decommissioned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0A51" w14:textId="77777777" w:rsidR="00905D6D" w:rsidRPr="00027012" w:rsidRDefault="00905D6D" w:rsidP="00905D6D">
            <w:pPr>
              <w:rPr>
                <w:rFonts w:ascii="Times New Roman" w:hAnsi="Times New Roman" w:cs="Times New Roman"/>
              </w:rPr>
            </w:pPr>
            <w:r w:rsidRPr="00027012">
              <w:rPr>
                <w:rFonts w:ascii="Times New Roman" w:hAnsi="Times New Roman" w:cs="Times New Roman"/>
              </w:rPr>
              <w:t>Holding area for subscriptions awaiting deletion or migration. Policies are stripped here.</w:t>
            </w:r>
          </w:p>
        </w:tc>
      </w:tr>
    </w:tbl>
    <w:p w14:paraId="3B3340A7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4165F100" w14:textId="7A01CB57" w:rsidR="00905D6D" w:rsidRPr="00354683" w:rsidRDefault="00905D6D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683">
        <w:rPr>
          <w:rFonts w:ascii="Times New Roman" w:hAnsi="Times New Roman" w:cs="Times New Roman"/>
          <w:b/>
          <w:bCs/>
          <w:sz w:val="28"/>
          <w:szCs w:val="28"/>
        </w:rPr>
        <w:t>Policy Inheritance Implementation</w:t>
      </w:r>
      <w:r w:rsidR="00027012" w:rsidRPr="003546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CF78D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7EDB52FB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>Azure Policy applies additive inheritance downward: a policy assigned at a parent level automatically applies to all child management groups, subscriptions, resource groups, and resources.</w:t>
      </w:r>
    </w:p>
    <w:p w14:paraId="318A69BC" w14:textId="6E794952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br/>
      </w:r>
    </w:p>
    <w:p w14:paraId="26070FF0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>Tenant Root MG ─────────&gt; [Policy A: Restrict Allowed Regions to US-East &amp; US-West]</w:t>
      </w:r>
    </w:p>
    <w:p w14:paraId="77FB3E54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   │</w:t>
      </w:r>
    </w:p>
    <w:p w14:paraId="7C931C0A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Landing Zones MG ──────&gt; [Policy B: Require 'Environment' Tag]</w:t>
      </w:r>
    </w:p>
    <w:p w14:paraId="32A7B1D5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   │</w:t>
      </w:r>
    </w:p>
    <w:p w14:paraId="665DF824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Engineering MG ────────&gt; [Policy C: Restrict VM SKUs to </w:t>
      </w:r>
      <w:proofErr w:type="spellStart"/>
      <w:r w:rsidRPr="00027012">
        <w:rPr>
          <w:rFonts w:ascii="Times New Roman" w:hAnsi="Times New Roman" w:cs="Times New Roman"/>
        </w:rPr>
        <w:t>Standard_D</w:t>
      </w:r>
      <w:proofErr w:type="spellEnd"/>
      <w:r w:rsidRPr="00027012">
        <w:rPr>
          <w:rFonts w:ascii="Times New Roman" w:hAnsi="Times New Roman" w:cs="Times New Roman"/>
        </w:rPr>
        <w:t xml:space="preserve"> Series]</w:t>
      </w:r>
    </w:p>
    <w:p w14:paraId="3E056D05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   │</w:t>
      </w:r>
    </w:p>
    <w:p w14:paraId="713440E4" w14:textId="77777777" w:rsidR="00905D6D" w:rsidRPr="00027012" w:rsidRDefault="00905D6D" w:rsidP="00905D6D">
      <w:p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  Engineering-Prod Sub ─&gt; Effective Rules: Policy A + Policy B + Policy C</w:t>
      </w:r>
    </w:p>
    <w:p w14:paraId="1F53A4C0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7CAA5021" w14:textId="66E4122B" w:rsidR="00905D6D" w:rsidRPr="00160252" w:rsidRDefault="00905D6D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25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Strategic Assignment Steps</w:t>
      </w:r>
      <w:r w:rsidR="00027012" w:rsidRPr="001602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140E32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66E0FF7B" w14:textId="22FB47A2" w:rsidR="00905D6D" w:rsidRPr="00027012" w:rsidRDefault="00905D6D" w:rsidP="00905D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Top-Level Baseline (</w:t>
      </w:r>
      <w:r w:rsidRPr="00027012">
        <w:rPr>
          <w:rFonts w:ascii="Times New Roman" w:hAnsi="Times New Roman" w:cs="Times New Roman"/>
        </w:rPr>
        <w:t>Tenant Root Group</w:t>
      </w:r>
      <w:r w:rsidRPr="00027012">
        <w:rPr>
          <w:rFonts w:ascii="Times New Roman" w:hAnsi="Times New Roman" w:cs="Times New Roman"/>
          <w:b/>
          <w:bCs/>
        </w:rPr>
        <w:t>):</w:t>
      </w:r>
    </w:p>
    <w:p w14:paraId="69540DEF" w14:textId="77777777" w:rsidR="00027012" w:rsidRPr="00027012" w:rsidRDefault="00027012" w:rsidP="00027012">
      <w:pPr>
        <w:ind w:left="720"/>
        <w:rPr>
          <w:rFonts w:ascii="Times New Roman" w:hAnsi="Times New Roman" w:cs="Times New Roman"/>
        </w:rPr>
      </w:pPr>
    </w:p>
    <w:p w14:paraId="403E4CA7" w14:textId="7BB3C738" w:rsidR="00905D6D" w:rsidRPr="0016025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="00905D6D" w:rsidRPr="00160252">
        <w:rPr>
          <w:rFonts w:ascii="Times New Roman" w:hAnsi="Times New Roman" w:cs="Times New Roman"/>
        </w:rPr>
        <w:t xml:space="preserve"> Allowed Locations restricted to approved cloud regions.</w:t>
      </w:r>
    </w:p>
    <w:p w14:paraId="310F6834" w14:textId="18935EAB" w:rsidR="00905D6D" w:rsidRPr="0016025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="00905D6D" w:rsidRPr="00160252">
        <w:rPr>
          <w:rFonts w:ascii="Times New Roman" w:hAnsi="Times New Roman" w:cs="Times New Roman"/>
        </w:rPr>
        <w:t xml:space="preserve"> Require Security Contact Email for Microsoft Defender.</w:t>
      </w:r>
    </w:p>
    <w:p w14:paraId="371D5BF2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7C5D3092" w14:textId="77777777" w:rsidR="00905D6D" w:rsidRPr="00027012" w:rsidRDefault="00905D6D" w:rsidP="00905D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Archetype Baseline (</w:t>
      </w:r>
      <w:r w:rsidRPr="00027012">
        <w:rPr>
          <w:rFonts w:ascii="Times New Roman" w:hAnsi="Times New Roman" w:cs="Times New Roman"/>
        </w:rPr>
        <w:t>Landing Zones MG</w:t>
      </w:r>
      <w:r w:rsidRPr="00027012">
        <w:rPr>
          <w:rFonts w:ascii="Times New Roman" w:hAnsi="Times New Roman" w:cs="Times New Roman"/>
          <w:b/>
          <w:bCs/>
        </w:rPr>
        <w:t>):</w:t>
      </w:r>
    </w:p>
    <w:p w14:paraId="1E1D5331" w14:textId="58A77C50" w:rsidR="00905D6D" w:rsidRPr="00027012" w:rsidRDefault="00905D6D" w:rsidP="00905D6D">
      <w:pPr>
        <w:rPr>
          <w:rFonts w:ascii="Times New Roman" w:hAnsi="Times New Roman" w:cs="Times New Roman"/>
        </w:rPr>
      </w:pPr>
    </w:p>
    <w:p w14:paraId="263FBD95" w14:textId="14419E56" w:rsidR="00905D6D" w:rsidRPr="0002701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Pr="00160252">
        <w:rPr>
          <w:rFonts w:ascii="Times New Roman" w:hAnsi="Times New Roman" w:cs="Times New Roman"/>
        </w:rPr>
        <w:t xml:space="preserve"> </w:t>
      </w:r>
      <w:r w:rsidR="00905D6D" w:rsidRPr="00027012">
        <w:rPr>
          <w:rFonts w:ascii="Times New Roman" w:hAnsi="Times New Roman" w:cs="Times New Roman"/>
        </w:rPr>
        <w:t xml:space="preserve">Require Tag and Value (e.g., </w:t>
      </w:r>
      <w:proofErr w:type="spellStart"/>
      <w:r w:rsidR="00905D6D" w:rsidRPr="00027012">
        <w:rPr>
          <w:rFonts w:ascii="Times New Roman" w:hAnsi="Times New Roman" w:cs="Times New Roman"/>
        </w:rPr>
        <w:t>CostCenter</w:t>
      </w:r>
      <w:proofErr w:type="spellEnd"/>
      <w:r w:rsidR="00905D6D" w:rsidRPr="00027012">
        <w:rPr>
          <w:rFonts w:ascii="Times New Roman" w:hAnsi="Times New Roman" w:cs="Times New Roman"/>
        </w:rPr>
        <w:t>, Owner).</w:t>
      </w:r>
    </w:p>
    <w:p w14:paraId="7658D0F8" w14:textId="721E5BF7" w:rsidR="00905D6D" w:rsidRPr="0002701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Pr="00160252">
        <w:rPr>
          <w:rFonts w:ascii="Times New Roman" w:hAnsi="Times New Roman" w:cs="Times New Roman"/>
        </w:rPr>
        <w:t xml:space="preserve"> </w:t>
      </w:r>
      <w:r w:rsidR="00905D6D" w:rsidRPr="00027012">
        <w:rPr>
          <w:rFonts w:ascii="Times New Roman" w:hAnsi="Times New Roman" w:cs="Times New Roman"/>
        </w:rPr>
        <w:t>Audit Unencrypted Storage Accounts.</w:t>
      </w:r>
    </w:p>
    <w:p w14:paraId="4855C41D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1D51567E" w14:textId="77777777" w:rsidR="00905D6D" w:rsidRPr="00027012" w:rsidRDefault="00905D6D" w:rsidP="00905D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Department-Specific Rules (</w:t>
      </w:r>
      <w:r w:rsidRPr="00027012">
        <w:rPr>
          <w:rFonts w:ascii="Times New Roman" w:hAnsi="Times New Roman" w:cs="Times New Roman"/>
        </w:rPr>
        <w:t>Engineering MG</w:t>
      </w:r>
      <w:r w:rsidRPr="00027012">
        <w:rPr>
          <w:rFonts w:ascii="Times New Roman" w:hAnsi="Times New Roman" w:cs="Times New Roman"/>
          <w:b/>
          <w:bCs/>
        </w:rPr>
        <w:t>):</w:t>
      </w:r>
    </w:p>
    <w:p w14:paraId="546FDDF7" w14:textId="2C58F7E2" w:rsidR="00905D6D" w:rsidRPr="00027012" w:rsidRDefault="00905D6D" w:rsidP="00905D6D">
      <w:pPr>
        <w:rPr>
          <w:rFonts w:ascii="Times New Roman" w:hAnsi="Times New Roman" w:cs="Times New Roman"/>
        </w:rPr>
      </w:pPr>
    </w:p>
    <w:p w14:paraId="62A31D6D" w14:textId="21643E09" w:rsidR="00905D6D" w:rsidRPr="0002701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Pr="00160252">
        <w:rPr>
          <w:rFonts w:ascii="Times New Roman" w:hAnsi="Times New Roman" w:cs="Times New Roman"/>
        </w:rPr>
        <w:t xml:space="preserve"> </w:t>
      </w:r>
      <w:r w:rsidR="00905D6D" w:rsidRPr="00027012">
        <w:rPr>
          <w:rFonts w:ascii="Times New Roman" w:hAnsi="Times New Roman" w:cs="Times New Roman"/>
        </w:rPr>
        <w:t>Allowed Virtual Machine SKUs (restricting GPU/high-cost SKUs to specific tiers).</w:t>
      </w:r>
    </w:p>
    <w:p w14:paraId="26ACD07E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4EC728D8" w14:textId="77777777" w:rsidR="00905D6D" w:rsidRPr="00027012" w:rsidRDefault="00905D6D" w:rsidP="00905D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Operations Rules (</w:t>
      </w:r>
      <w:r w:rsidRPr="00027012">
        <w:rPr>
          <w:rFonts w:ascii="Times New Roman" w:hAnsi="Times New Roman" w:cs="Times New Roman"/>
        </w:rPr>
        <w:t>Operations MG</w:t>
      </w:r>
      <w:r w:rsidRPr="00027012">
        <w:rPr>
          <w:rFonts w:ascii="Times New Roman" w:hAnsi="Times New Roman" w:cs="Times New Roman"/>
          <w:b/>
          <w:bCs/>
        </w:rPr>
        <w:t>):</w:t>
      </w:r>
    </w:p>
    <w:p w14:paraId="4976D3B7" w14:textId="6C2A6560" w:rsidR="00905D6D" w:rsidRPr="00027012" w:rsidRDefault="00905D6D" w:rsidP="00905D6D">
      <w:pPr>
        <w:rPr>
          <w:rFonts w:ascii="Times New Roman" w:hAnsi="Times New Roman" w:cs="Times New Roman"/>
        </w:rPr>
      </w:pPr>
    </w:p>
    <w:p w14:paraId="6EA4E6E0" w14:textId="291C91A1" w:rsidR="00905D6D" w:rsidRPr="00027012" w:rsidRDefault="00160252" w:rsidP="00905D6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Policy: </w:t>
      </w:r>
      <w:r w:rsidRPr="00160252">
        <w:rPr>
          <w:rFonts w:ascii="Times New Roman" w:hAnsi="Times New Roman" w:cs="Times New Roman"/>
        </w:rPr>
        <w:t xml:space="preserve"> </w:t>
      </w:r>
      <w:r w:rsidR="00905D6D" w:rsidRPr="00027012">
        <w:rPr>
          <w:rFonts w:ascii="Times New Roman" w:hAnsi="Times New Roman" w:cs="Times New Roman"/>
        </w:rPr>
        <w:t>Enforce Backup Configuration on all managed disks.</w:t>
      </w:r>
    </w:p>
    <w:p w14:paraId="4739FF95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692A67E6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3B23DACE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00D04A4C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2497C77D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655CA498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1D549176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1EBAA247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35D7C51D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0956A5EF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1699231D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642B03F7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05898EEA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170ED9AA" w14:textId="3AAAFB79" w:rsidR="00905D6D" w:rsidRPr="00160252" w:rsidRDefault="00905D6D" w:rsidP="00905D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252">
        <w:rPr>
          <w:rFonts w:ascii="Times New Roman" w:hAnsi="Times New Roman" w:cs="Times New Roman"/>
          <w:b/>
          <w:bCs/>
          <w:sz w:val="28"/>
          <w:szCs w:val="28"/>
        </w:rPr>
        <w:t>Student Bottlenecks &amp; Governance Pitfalls</w:t>
      </w:r>
      <w:r w:rsidR="00027012" w:rsidRPr="001602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EC2742" w14:textId="77777777" w:rsidR="00027012" w:rsidRPr="00027012" w:rsidRDefault="00027012" w:rsidP="00905D6D">
      <w:pPr>
        <w:rPr>
          <w:rFonts w:ascii="Times New Roman" w:hAnsi="Times New Roman" w:cs="Times New Roman"/>
          <w:b/>
          <w:bCs/>
        </w:rPr>
      </w:pPr>
    </w:p>
    <w:p w14:paraId="237816C8" w14:textId="47B8EB98" w:rsidR="005605D3" w:rsidRPr="00027012" w:rsidRDefault="00905D6D" w:rsidP="00905D6D">
      <w:pPr>
        <w:rPr>
          <w:rFonts w:ascii="Times New Roman" w:hAnsi="Times New Roman" w:cs="Times New Roman"/>
          <w:b/>
          <w:bCs/>
        </w:rPr>
      </w:pPr>
      <w:r w:rsidRPr="00027012">
        <w:rPr>
          <w:rFonts w:ascii="Times New Roman" w:hAnsi="Times New Roman" w:cs="Times New Roman"/>
          <w:b/>
          <w:bCs/>
        </w:rPr>
        <w:t>Pitfall 1: Disruptive Structural Changes Post-Assignment</w:t>
      </w:r>
    </w:p>
    <w:p w14:paraId="37B567F7" w14:textId="3803C38E" w:rsidR="00905D6D" w:rsidRPr="00027012" w:rsidRDefault="005605D3" w:rsidP="00905D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05D6D" w:rsidRPr="00027012">
        <w:rPr>
          <w:rFonts w:ascii="Times New Roman" w:hAnsi="Times New Roman" w:cs="Times New Roman"/>
        </w:rPr>
        <w:t>Once management groups have RBAC roles, Azure Policy assignments, and Defender plans attached, moving subscriptions or restructuring nodes is highly disruptive.</w:t>
      </w:r>
    </w:p>
    <w:p w14:paraId="085207F9" w14:textId="77777777" w:rsidR="00027012" w:rsidRPr="00027012" w:rsidRDefault="00027012" w:rsidP="00905D6D">
      <w:pPr>
        <w:rPr>
          <w:rFonts w:ascii="Times New Roman" w:hAnsi="Times New Roman" w:cs="Times New Roman"/>
        </w:rPr>
      </w:pPr>
    </w:p>
    <w:p w14:paraId="507EED7A" w14:textId="219A1542" w:rsidR="00027012" w:rsidRPr="00027012" w:rsidRDefault="00905D6D" w:rsidP="000270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The Problem:</w:t>
      </w:r>
      <w:r w:rsidRPr="00027012">
        <w:rPr>
          <w:rFonts w:ascii="Times New Roman" w:hAnsi="Times New Roman" w:cs="Times New Roman"/>
        </w:rPr>
        <w:t xml:space="preserve"> Moving a subscription from Finance MG to Decommissioned MG immediately removes inherited policies and access permissions, potentially leaving resources exposed or breaking operational scripts.</w:t>
      </w:r>
    </w:p>
    <w:p w14:paraId="37E4C991" w14:textId="77777777" w:rsidR="00027012" w:rsidRPr="00027012" w:rsidRDefault="00027012" w:rsidP="00027012">
      <w:pPr>
        <w:ind w:left="360"/>
        <w:rPr>
          <w:rFonts w:ascii="Times New Roman" w:hAnsi="Times New Roman" w:cs="Times New Roman"/>
        </w:rPr>
      </w:pPr>
    </w:p>
    <w:p w14:paraId="7726E2A9" w14:textId="0F197749" w:rsidR="00027012" w:rsidRPr="00027012" w:rsidRDefault="00905D6D" w:rsidP="000270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Mitigation Strategy:</w:t>
      </w:r>
    </w:p>
    <w:p w14:paraId="68AE44EA" w14:textId="31A3A171" w:rsidR="00905D6D" w:rsidRPr="00027012" w:rsidRDefault="00905D6D" w:rsidP="00905D6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Design hierarchy by </w:t>
      </w:r>
      <w:r w:rsidRPr="00027012">
        <w:rPr>
          <w:rFonts w:ascii="Times New Roman" w:hAnsi="Times New Roman" w:cs="Times New Roman"/>
          <w:b/>
          <w:bCs/>
        </w:rPr>
        <w:t>archetype and life cycle</w:t>
      </w:r>
      <w:r w:rsidRPr="00027012">
        <w:rPr>
          <w:rFonts w:ascii="Times New Roman" w:hAnsi="Times New Roman" w:cs="Times New Roman"/>
        </w:rPr>
        <w:t xml:space="preserve"> (e.g., Platform vs. Workload, Prod vs. Non-Prod) rather than volatile internal org charts.</w:t>
      </w:r>
    </w:p>
    <w:p w14:paraId="0096BD46" w14:textId="77777777" w:rsidR="00905D6D" w:rsidRPr="00027012" w:rsidRDefault="00905D6D" w:rsidP="00905D6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Use </w:t>
      </w:r>
      <w:r w:rsidRPr="00027012">
        <w:rPr>
          <w:rFonts w:ascii="Times New Roman" w:hAnsi="Times New Roman" w:cs="Times New Roman"/>
          <w:b/>
          <w:bCs/>
        </w:rPr>
        <w:t>Infrastructure as Code (</w:t>
      </w:r>
      <w:proofErr w:type="spellStart"/>
      <w:r w:rsidRPr="00027012">
        <w:rPr>
          <w:rFonts w:ascii="Times New Roman" w:hAnsi="Times New Roman" w:cs="Times New Roman"/>
          <w:b/>
          <w:bCs/>
        </w:rPr>
        <w:t>IaC</w:t>
      </w:r>
      <w:proofErr w:type="spellEnd"/>
      <w:r w:rsidRPr="00027012">
        <w:rPr>
          <w:rFonts w:ascii="Times New Roman" w:hAnsi="Times New Roman" w:cs="Times New Roman"/>
          <w:b/>
          <w:bCs/>
        </w:rPr>
        <w:t>)</w:t>
      </w:r>
      <w:r w:rsidRPr="00027012">
        <w:rPr>
          <w:rFonts w:ascii="Times New Roman" w:hAnsi="Times New Roman" w:cs="Times New Roman"/>
        </w:rPr>
        <w:t xml:space="preserve"> (Terraform modules or Bicep) to define MG trees so changes can be planned and dry-run before deployment.</w:t>
      </w:r>
    </w:p>
    <w:p w14:paraId="31E7C800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23F069DD" w14:textId="77777777" w:rsidR="00905D6D" w:rsidRPr="00027012" w:rsidRDefault="00905D6D" w:rsidP="00905D6D">
      <w:pPr>
        <w:rPr>
          <w:rFonts w:ascii="Times New Roman" w:hAnsi="Times New Roman" w:cs="Times New Roman"/>
          <w:b/>
          <w:bCs/>
        </w:rPr>
      </w:pPr>
      <w:r w:rsidRPr="00027012">
        <w:rPr>
          <w:rFonts w:ascii="Times New Roman" w:hAnsi="Times New Roman" w:cs="Times New Roman"/>
          <w:b/>
          <w:bCs/>
        </w:rPr>
        <w:t>Pitfall 2: Unexpected Effective Policy Results</w:t>
      </w:r>
    </w:p>
    <w:p w14:paraId="591A1BA9" w14:textId="2C3A8A2C" w:rsidR="00905D6D" w:rsidRPr="00027012" w:rsidRDefault="005605D3" w:rsidP="00905D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05D6D" w:rsidRPr="00027012">
        <w:rPr>
          <w:rFonts w:ascii="Times New Roman" w:hAnsi="Times New Roman" w:cs="Times New Roman"/>
        </w:rPr>
        <w:t xml:space="preserve">Students often expect lower-level policy assignments to overwrite parent policies. In Azure Policy, </w:t>
      </w:r>
      <w:proofErr w:type="gramStart"/>
      <w:r w:rsidR="00905D6D" w:rsidRPr="00027012">
        <w:rPr>
          <w:rFonts w:ascii="Times New Roman" w:hAnsi="Times New Roman" w:cs="Times New Roman"/>
          <w:b/>
          <w:bCs/>
        </w:rPr>
        <w:t>Deny</w:t>
      </w:r>
      <w:proofErr w:type="gramEnd"/>
      <w:r w:rsidR="00905D6D" w:rsidRPr="00027012">
        <w:rPr>
          <w:rFonts w:ascii="Times New Roman" w:hAnsi="Times New Roman" w:cs="Times New Roman"/>
          <w:b/>
          <w:bCs/>
        </w:rPr>
        <w:t xml:space="preserve"> rules at a parent level always win</w:t>
      </w:r>
      <w:r w:rsidR="00905D6D" w:rsidRPr="00027012">
        <w:rPr>
          <w:rFonts w:ascii="Times New Roman" w:hAnsi="Times New Roman" w:cs="Times New Roman"/>
        </w:rPr>
        <w:t>, and policy evaluations are evaluated as a logical AND.</w:t>
      </w:r>
    </w:p>
    <w:p w14:paraId="59A418D1" w14:textId="10E5B96B" w:rsidR="00905D6D" w:rsidRPr="00027012" w:rsidRDefault="00905D6D" w:rsidP="00905D6D">
      <w:pPr>
        <w:rPr>
          <w:rFonts w:ascii="Times New Roman" w:hAnsi="Times New Roman" w:cs="Times New Roman"/>
        </w:rPr>
      </w:pPr>
    </w:p>
    <w:p w14:paraId="7B822134" w14:textId="07DB5B80" w:rsidR="00905D6D" w:rsidRPr="00027012" w:rsidRDefault="00905D6D" w:rsidP="00905D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The Problem:</w:t>
      </w:r>
      <w:r w:rsidR="00027012" w:rsidRPr="00027012">
        <w:rPr>
          <w:rFonts w:ascii="Times New Roman" w:hAnsi="Times New Roman" w:cs="Times New Roman"/>
        </w:rPr>
        <w:t xml:space="preserve"> </w:t>
      </w:r>
      <w:r w:rsidRPr="00027012">
        <w:rPr>
          <w:rFonts w:ascii="Times New Roman" w:hAnsi="Times New Roman" w:cs="Times New Roman"/>
        </w:rPr>
        <w:t xml:space="preserve">If Tenant Root MG assigns a policy restricting VM sizes to Standard_B2s via Deny, assigning an Allowed SKUs policy at Engineering MG that includes Standard_D4s_v3 will </w:t>
      </w:r>
      <w:r w:rsidRPr="00027012">
        <w:rPr>
          <w:rFonts w:ascii="Times New Roman" w:hAnsi="Times New Roman" w:cs="Times New Roman"/>
          <w:b/>
          <w:bCs/>
        </w:rPr>
        <w:t>not</w:t>
      </w:r>
      <w:r w:rsidRPr="00027012">
        <w:rPr>
          <w:rFonts w:ascii="Times New Roman" w:hAnsi="Times New Roman" w:cs="Times New Roman"/>
        </w:rPr>
        <w:t xml:space="preserve"> grant access to the D4s size. The parent Deny block blocks it.</w:t>
      </w:r>
    </w:p>
    <w:p w14:paraId="4A40C313" w14:textId="77777777" w:rsidR="00905D6D" w:rsidRPr="00027012" w:rsidRDefault="00905D6D" w:rsidP="00905D6D">
      <w:pPr>
        <w:rPr>
          <w:rFonts w:ascii="Times New Roman" w:hAnsi="Times New Roman" w:cs="Times New Roman"/>
        </w:rPr>
      </w:pPr>
    </w:p>
    <w:p w14:paraId="5BE5A90B" w14:textId="5CC94576" w:rsidR="00905D6D" w:rsidRPr="00027012" w:rsidRDefault="00905D6D" w:rsidP="00905D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  <w:b/>
          <w:bCs/>
        </w:rPr>
        <w:t>Mitigation Strategy:</w:t>
      </w:r>
    </w:p>
    <w:p w14:paraId="62A0F491" w14:textId="6DD5688E" w:rsidR="00905D6D" w:rsidRPr="00027012" w:rsidRDefault="00905D6D" w:rsidP="00905D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Use </w:t>
      </w:r>
      <w:r w:rsidRPr="00027012">
        <w:rPr>
          <w:rFonts w:ascii="Times New Roman" w:hAnsi="Times New Roman" w:cs="Times New Roman"/>
          <w:b/>
          <w:bCs/>
        </w:rPr>
        <w:t>Policy Exemptions</w:t>
      </w:r>
      <w:r w:rsidRPr="00027012">
        <w:rPr>
          <w:rFonts w:ascii="Times New Roman" w:hAnsi="Times New Roman" w:cs="Times New Roman"/>
        </w:rPr>
        <w:t xml:space="preserve"> (Waiver or Mitigated) at the child scope rather than attempting to override parent rules with duplicate policy assignments.</w:t>
      </w:r>
    </w:p>
    <w:p w14:paraId="6CC3C83D" w14:textId="723EE5D4" w:rsidR="00905D6D" w:rsidRPr="00027012" w:rsidRDefault="00905D6D" w:rsidP="00905D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Prefer Audit or </w:t>
      </w:r>
      <w:proofErr w:type="spellStart"/>
      <w:r w:rsidRPr="00027012">
        <w:rPr>
          <w:rFonts w:ascii="Times New Roman" w:hAnsi="Times New Roman" w:cs="Times New Roman"/>
        </w:rPr>
        <w:t>AuditIfNotExists</w:t>
      </w:r>
      <w:proofErr w:type="spellEnd"/>
      <w:r w:rsidRPr="00027012">
        <w:rPr>
          <w:rFonts w:ascii="Times New Roman" w:hAnsi="Times New Roman" w:cs="Times New Roman"/>
        </w:rPr>
        <w:t xml:space="preserve"> over hard Deny during initial governance rollout to observe impact via Azure Policy Compliance dashboards without blocking workloads.</w:t>
      </w:r>
    </w:p>
    <w:p w14:paraId="766FB484" w14:textId="798475F2" w:rsidR="00DB0CDD" w:rsidRPr="00027012" w:rsidRDefault="00905D6D" w:rsidP="00905D6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27012">
        <w:rPr>
          <w:rFonts w:ascii="Times New Roman" w:hAnsi="Times New Roman" w:cs="Times New Roman"/>
        </w:rPr>
        <w:t xml:space="preserve">Use </w:t>
      </w:r>
      <w:r w:rsidRPr="00027012">
        <w:rPr>
          <w:rFonts w:ascii="Times New Roman" w:hAnsi="Times New Roman" w:cs="Times New Roman"/>
          <w:b/>
          <w:bCs/>
        </w:rPr>
        <w:t>Policy Initiatives (Definitions Sets)</w:t>
      </w:r>
      <w:r w:rsidRPr="00027012">
        <w:rPr>
          <w:rFonts w:ascii="Times New Roman" w:hAnsi="Times New Roman" w:cs="Times New Roman"/>
        </w:rPr>
        <w:t xml:space="preserve"> to bundle related compliance rules together, making tracking effective policy inheritance simpler across levels.</w:t>
      </w:r>
    </w:p>
    <w:sectPr w:rsidR="00DB0CDD" w:rsidRPr="00027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218"/>
    <w:multiLevelType w:val="multilevel"/>
    <w:tmpl w:val="C29E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80979"/>
    <w:multiLevelType w:val="multilevel"/>
    <w:tmpl w:val="3C7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313F9"/>
    <w:multiLevelType w:val="multilevel"/>
    <w:tmpl w:val="D530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C24FE"/>
    <w:multiLevelType w:val="multilevel"/>
    <w:tmpl w:val="DAC2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D082E"/>
    <w:multiLevelType w:val="multilevel"/>
    <w:tmpl w:val="0D1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14039"/>
    <w:multiLevelType w:val="multilevel"/>
    <w:tmpl w:val="153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D09AA"/>
    <w:multiLevelType w:val="multilevel"/>
    <w:tmpl w:val="D74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66A9B"/>
    <w:multiLevelType w:val="multilevel"/>
    <w:tmpl w:val="0CE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47095">
    <w:abstractNumId w:val="5"/>
  </w:num>
  <w:num w:numId="2" w16cid:durableId="1558474165">
    <w:abstractNumId w:val="6"/>
  </w:num>
  <w:num w:numId="3" w16cid:durableId="1845893342">
    <w:abstractNumId w:val="1"/>
  </w:num>
  <w:num w:numId="4" w16cid:durableId="1841383607">
    <w:abstractNumId w:val="2"/>
  </w:num>
  <w:num w:numId="5" w16cid:durableId="1560095681">
    <w:abstractNumId w:val="3"/>
  </w:num>
  <w:num w:numId="6" w16cid:durableId="101653830">
    <w:abstractNumId w:val="4"/>
  </w:num>
  <w:num w:numId="7" w16cid:durableId="951090749">
    <w:abstractNumId w:val="4"/>
    <w:lvlOverride w:ilvl="1">
      <w:startOverride w:val="1"/>
    </w:lvlOverride>
  </w:num>
  <w:num w:numId="8" w16cid:durableId="1055738690">
    <w:abstractNumId w:val="0"/>
  </w:num>
  <w:num w:numId="9" w16cid:durableId="1172337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6D"/>
    <w:rsid w:val="00027012"/>
    <w:rsid w:val="0010561A"/>
    <w:rsid w:val="00160252"/>
    <w:rsid w:val="0031197B"/>
    <w:rsid w:val="00354683"/>
    <w:rsid w:val="00380225"/>
    <w:rsid w:val="005605D3"/>
    <w:rsid w:val="0061508D"/>
    <w:rsid w:val="00620EF5"/>
    <w:rsid w:val="008D25E1"/>
    <w:rsid w:val="00905D6D"/>
    <w:rsid w:val="009367C8"/>
    <w:rsid w:val="009C05DF"/>
    <w:rsid w:val="00AB78BA"/>
    <w:rsid w:val="00B625FD"/>
    <w:rsid w:val="00B86DFA"/>
    <w:rsid w:val="00C9632C"/>
    <w:rsid w:val="00DB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278C"/>
  <w15:chartTrackingRefBased/>
  <w15:docId w15:val="{575FC630-AF16-4E0A-AF44-BE505208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Rahul</dc:creator>
  <cp:keywords/>
  <dc:description/>
  <cp:lastModifiedBy>Bharadwaj Rahul</cp:lastModifiedBy>
  <cp:revision>13</cp:revision>
  <dcterms:created xsi:type="dcterms:W3CDTF">2026-08-19T02:04:00Z</dcterms:created>
  <dcterms:modified xsi:type="dcterms:W3CDTF">2026-09-23T02:37:00Z</dcterms:modified>
</cp:coreProperties>
</file>