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732A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AZURE SUBSCRIPTION VENDING AND ONBOARDING PROCESS DESIGN</w:t>
      </w:r>
    </w:p>
    <w:p w14:paraId="5526DE5B">
      <w:pPr>
        <w:jc w:val="center"/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>Project No.: 24CC3046-P0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85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Team No.: T1</w:t>
      </w:r>
      <w:r>
        <w:rPr>
          <w:rFonts w:hint="default" w:asciiTheme="majorHAnsi" w:hAnsiTheme="majorHAnsi" w:eastAsiaTheme="majorEastAsia" w:cstheme="majorBidi"/>
          <w:b/>
          <w:bCs/>
          <w:color w:val="000000" w:themeColor="text1"/>
          <w:szCs w:val="21"/>
          <w:lang w:val="en-IN"/>
          <w14:textFill>
            <w14:solidFill>
              <w14:schemeClr w14:val="tx1"/>
            </w14:solidFill>
          </w14:textFill>
        </w:rPr>
        <w:t>87</w:t>
      </w:r>
      <w:r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  <w:t xml:space="preserve">  |  Section: 52-MA</w:t>
      </w:r>
    </w:p>
    <w:p w14:paraId="0C00F0FF">
      <w:pPr>
        <w:jc w:val="center"/>
        <w:rPr>
          <w:rFonts w:asciiTheme="majorHAnsi" w:hAnsiTheme="majorHAnsi" w:eastAsiaTheme="majorEastAsia" w:cstheme="majorBidi"/>
          <w:b/>
          <w:bCs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BC2086D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  <w:r>
        <w:t xml:space="preserve">Project Title: </w:t>
      </w:r>
      <w:r>
        <w:rPr>
          <w:rFonts w:ascii="Aptos" w:hAnsi="Aptos" w:eastAsia="Aptos" w:cs="Aptos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</w:rPr>
        <w:t>AZURE SUBSCRIPTION VENDING AND ONBOARDING PROCESS DESIGN</w:t>
      </w: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  <w:t xml:space="preserve"> ”</w:t>
      </w:r>
    </w:p>
    <w:p w14:paraId="3BB6934F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IN"/>
        </w:rPr>
      </w:pPr>
    </w:p>
    <w:p w14:paraId="28EB8ADA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Mentor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:  Raju Anitha</w:t>
      </w:r>
    </w:p>
    <w:p w14:paraId="4E26F6C2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E9CD4D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  <w:t>Team Members:</w:t>
      </w:r>
    </w:p>
    <w:p w14:paraId="531AEAD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2400032180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Nimmala Mounika</w:t>
      </w:r>
    </w:p>
    <w:p w14:paraId="494A735C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2400032183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Tirunagari Sai Tejaswi</w:t>
      </w:r>
    </w:p>
    <w:p w14:paraId="09BD9166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 xml:space="preserve">2400032184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Bandaru Sai Sri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>j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a Anuhya</w:t>
      </w:r>
    </w:p>
    <w:p w14:paraId="2BCC5B53">
      <w:pPr>
        <w:spacing w:after="0"/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singl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2400032228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:lang w:val="en-IN"/>
          <w14:textFill>
            <w14:solidFill>
              <w14:schemeClr w14:val="tx1"/>
            </w14:solidFill>
          </w14:textFill>
        </w:rPr>
        <w:t xml:space="preserve"> - </w:t>
      </w:r>
      <w:r>
        <w:rPr>
          <w:rFonts w:hint="default" w:ascii="Times New Roman" w:hAnsi="Times New Roman" w:eastAsia="Aptos" w:cs="Times New Roman"/>
          <w:color w:val="000000" w:themeColor="text1"/>
          <w:sz w:val="20"/>
          <w:szCs w:val="20"/>
          <w:u w:val="none"/>
          <w14:textFill>
            <w14:solidFill>
              <w14:schemeClr w14:val="tx1"/>
            </w14:solidFill>
          </w14:textFill>
        </w:rPr>
        <w:t>Veluguri SrI Vidhya</w:t>
      </w:r>
    </w:p>
    <w:p w14:paraId="1B782407"/>
    <w:p w14:paraId="6AD224FB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SERVICES NEEDED FROM AZURE:</w:t>
      </w:r>
    </w:p>
    <w:p w14:paraId="646DBE07">
      <w:pPr>
        <w:rPr>
          <w:rFonts w:hint="default"/>
          <w:b/>
          <w:bCs/>
          <w:sz w:val="24"/>
          <w:szCs w:val="24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"/>
        <w:gridCol w:w="1691"/>
        <w:gridCol w:w="3430"/>
        <w:gridCol w:w="2905"/>
      </w:tblGrid>
      <w:tr w14:paraId="7BD24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A1E41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No.</w:t>
            </w:r>
          </w:p>
        </w:tc>
        <w:tc>
          <w:tcPr>
            <w:tcW w:w="0" w:type="auto"/>
            <w:shd w:val="clear"/>
            <w:vAlign w:val="center"/>
          </w:tcPr>
          <w:p w14:paraId="0565782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Service</w:t>
            </w:r>
          </w:p>
        </w:tc>
        <w:tc>
          <w:tcPr>
            <w:tcW w:w="0" w:type="auto"/>
            <w:shd w:val="clear"/>
            <w:vAlign w:val="center"/>
          </w:tcPr>
          <w:p w14:paraId="057272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Purpose in Your Project</w:t>
            </w:r>
          </w:p>
        </w:tc>
        <w:tc>
          <w:tcPr>
            <w:tcW w:w="0" w:type="auto"/>
            <w:shd w:val="clear"/>
            <w:vAlign w:val="center"/>
          </w:tcPr>
          <w:p w14:paraId="19EE11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Cost Status</w:t>
            </w:r>
          </w:p>
        </w:tc>
      </w:tr>
      <w:tr w14:paraId="3F68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56B043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F458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Microsoft Entra ID</w:t>
            </w:r>
          </w:p>
        </w:tc>
        <w:tc>
          <w:tcPr>
            <w:tcW w:w="0" w:type="auto"/>
            <w:shd w:val="clear"/>
            <w:vAlign w:val="center"/>
          </w:tcPr>
          <w:p w14:paraId="38934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User authentication, groups and identities</w:t>
            </w:r>
          </w:p>
        </w:tc>
        <w:tc>
          <w:tcPr>
            <w:tcW w:w="0" w:type="auto"/>
            <w:shd w:val="clear"/>
            <w:vAlign w:val="center"/>
          </w:tcPr>
          <w:p w14:paraId="24321D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64B8B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C8D2A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0562F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Management Groups</w:t>
            </w:r>
          </w:p>
        </w:tc>
        <w:tc>
          <w:tcPr>
            <w:tcW w:w="0" w:type="auto"/>
            <w:shd w:val="clear"/>
            <w:vAlign w:val="center"/>
          </w:tcPr>
          <w:p w14:paraId="271B3C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Organize and govern subscriptions</w:t>
            </w:r>
          </w:p>
        </w:tc>
        <w:tc>
          <w:tcPr>
            <w:tcW w:w="0" w:type="auto"/>
            <w:shd w:val="clear"/>
            <w:vAlign w:val="center"/>
          </w:tcPr>
          <w:p w14:paraId="1F15F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2ED59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A0AE6F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6CDF4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Subscription</w:t>
            </w:r>
          </w:p>
        </w:tc>
        <w:tc>
          <w:tcPr>
            <w:tcW w:w="0" w:type="auto"/>
            <w:shd w:val="clear"/>
            <w:vAlign w:val="center"/>
          </w:tcPr>
          <w:p w14:paraId="50C1C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Container for the provisioned Azure resources</w:t>
            </w:r>
          </w:p>
        </w:tc>
        <w:tc>
          <w:tcPr>
            <w:tcW w:w="0" w:type="auto"/>
            <w:shd w:val="clear"/>
            <w:vAlign w:val="center"/>
          </w:tcPr>
          <w:p w14:paraId="79654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1B8D2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DC9C3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8CDC7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Policy</w:t>
            </w:r>
          </w:p>
        </w:tc>
        <w:tc>
          <w:tcPr>
            <w:tcW w:w="0" w:type="auto"/>
            <w:shd w:val="clear"/>
            <w:vAlign w:val="center"/>
          </w:tcPr>
          <w:p w14:paraId="2A8FE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Apply governance, tagging and compliance rules</w:t>
            </w:r>
          </w:p>
        </w:tc>
        <w:tc>
          <w:tcPr>
            <w:tcW w:w="0" w:type="auto"/>
            <w:shd w:val="clear"/>
            <w:vAlign w:val="center"/>
          </w:tcPr>
          <w:p w14:paraId="51F9CA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🟢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54AFC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6071E1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E487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RBAC</w:t>
            </w:r>
          </w:p>
        </w:tc>
        <w:tc>
          <w:tcPr>
            <w:tcW w:w="0" w:type="auto"/>
            <w:shd w:val="clear"/>
            <w:vAlign w:val="center"/>
          </w:tcPr>
          <w:p w14:paraId="7D4853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Assign roles and permissions to users/groups</w:t>
            </w:r>
          </w:p>
        </w:tc>
        <w:tc>
          <w:tcPr>
            <w:tcW w:w="0" w:type="auto"/>
            <w:shd w:val="clear"/>
            <w:vAlign w:val="center"/>
          </w:tcPr>
          <w:p w14:paraId="5199F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14E36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4CB26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2AB224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Resource Groups</w:t>
            </w:r>
          </w:p>
        </w:tc>
        <w:tc>
          <w:tcPr>
            <w:tcW w:w="0" w:type="auto"/>
            <w:shd w:val="clear"/>
            <w:vAlign w:val="center"/>
          </w:tcPr>
          <w:p w14:paraId="5D48AD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Organize project resources</w:t>
            </w:r>
          </w:p>
        </w:tc>
        <w:tc>
          <w:tcPr>
            <w:tcW w:w="0" w:type="auto"/>
            <w:shd w:val="clear"/>
            <w:vAlign w:val="center"/>
          </w:tcPr>
          <w:p w14:paraId="6496E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🟢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62BBF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2B82D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24BA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Virtual Network (VNet)</w:t>
            </w:r>
          </w:p>
        </w:tc>
        <w:tc>
          <w:tcPr>
            <w:tcW w:w="0" w:type="auto"/>
            <w:shd w:val="clear"/>
            <w:vAlign w:val="center"/>
          </w:tcPr>
          <w:p w14:paraId="1BECF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Create the project's network</w:t>
            </w:r>
          </w:p>
        </w:tc>
        <w:tc>
          <w:tcPr>
            <w:tcW w:w="0" w:type="auto"/>
            <w:shd w:val="clear"/>
            <w:vAlign w:val="center"/>
          </w:tcPr>
          <w:p w14:paraId="7A152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543A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4AB07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0714E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Network Security Group (NSG)</w:t>
            </w:r>
          </w:p>
        </w:tc>
        <w:tc>
          <w:tcPr>
            <w:tcW w:w="0" w:type="auto"/>
            <w:shd w:val="clear"/>
            <w:vAlign w:val="center"/>
          </w:tcPr>
          <w:p w14:paraId="187434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Control inbound/outbound network traffic</w:t>
            </w:r>
          </w:p>
        </w:tc>
        <w:tc>
          <w:tcPr>
            <w:tcW w:w="0" w:type="auto"/>
            <w:shd w:val="clear"/>
            <w:vAlign w:val="center"/>
          </w:tcPr>
          <w:p w14:paraId="32628F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🟢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648F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D74F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0BCDCC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Monitor</w:t>
            </w:r>
          </w:p>
        </w:tc>
        <w:tc>
          <w:tcPr>
            <w:tcW w:w="0" w:type="auto"/>
            <w:shd w:val="clear"/>
            <w:vAlign w:val="center"/>
          </w:tcPr>
          <w:p w14:paraId="1C3C2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Monitoring, metrics and alerts</w:t>
            </w:r>
          </w:p>
        </w:tc>
        <w:tc>
          <w:tcPr>
            <w:tcW w:w="0" w:type="auto"/>
            <w:shd w:val="clear"/>
            <w:vAlign w:val="center"/>
          </w:tcPr>
          <w:p w14:paraId="2E4B2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Partly free; log ingestion/storage can be charged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 </w:t>
            </w:r>
          </w:p>
        </w:tc>
      </w:tr>
      <w:tr w14:paraId="4CA0B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9D1922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7ECEB5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Activity Log</w:t>
            </w:r>
          </w:p>
        </w:tc>
        <w:tc>
          <w:tcPr>
            <w:tcW w:w="0" w:type="auto"/>
            <w:shd w:val="clear"/>
            <w:vAlign w:val="center"/>
          </w:tcPr>
          <w:p w14:paraId="411C3B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Track subscription/resource management activities</w:t>
            </w:r>
          </w:p>
        </w:tc>
        <w:tc>
          <w:tcPr>
            <w:tcW w:w="0" w:type="auto"/>
            <w:shd w:val="clear"/>
            <w:vAlign w:val="center"/>
          </w:tcPr>
          <w:p w14:paraId="6FF86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for basic Activity Logs</w:t>
            </w:r>
          </w:p>
        </w:tc>
      </w:tr>
      <w:tr w14:paraId="6405B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008C4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7EC89E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Azure Cost Management</w:t>
            </w:r>
          </w:p>
        </w:tc>
        <w:tc>
          <w:tcPr>
            <w:tcW w:w="0" w:type="auto"/>
            <w:shd w:val="clear"/>
            <w:vAlign w:val="center"/>
          </w:tcPr>
          <w:p w14:paraId="0B41BA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Budgets, cost tracking and cost alerts</w:t>
            </w:r>
          </w:p>
        </w:tc>
        <w:tc>
          <w:tcPr>
            <w:tcW w:w="0" w:type="auto"/>
            <w:shd w:val="clear"/>
            <w:vAlign w:val="center"/>
          </w:tcPr>
          <w:p w14:paraId="2E757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 xml:space="preserve">🟢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0"/>
                <w:szCs w:val="20"/>
                <w:lang w:val="en-US" w:eastAsia="zh-CN" w:bidi="ar"/>
              </w:rPr>
              <w:t>Free tier</w:t>
            </w:r>
          </w:p>
        </w:tc>
      </w:tr>
      <w:tr w14:paraId="45E2D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8E3EF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0B70EC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Azure Automation</w:t>
            </w:r>
          </w:p>
        </w:tc>
        <w:tc>
          <w:tcPr>
            <w:tcW w:w="0" w:type="auto"/>
            <w:shd w:val="clear"/>
            <w:vAlign w:val="center"/>
          </w:tcPr>
          <w:p w14:paraId="12E0C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Automate provisioning/configuration scripts</w:t>
            </w:r>
          </w:p>
        </w:tc>
        <w:tc>
          <w:tcPr>
            <w:tcW w:w="0" w:type="auto"/>
            <w:shd w:val="clear"/>
            <w:vAlign w:val="center"/>
          </w:tcPr>
          <w:p w14:paraId="3CE60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Usage-based</w:t>
            </w:r>
          </w:p>
        </w:tc>
      </w:tr>
      <w:tr w14:paraId="5B07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70FD59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3543A4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Azure Storage Account</w:t>
            </w:r>
          </w:p>
        </w:tc>
        <w:tc>
          <w:tcPr>
            <w:tcW w:w="0" w:type="auto"/>
            <w:shd w:val="clear"/>
            <w:vAlign w:val="center"/>
          </w:tcPr>
          <w:p w14:paraId="69B9C4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Store logs/configuration if required</w:t>
            </w:r>
          </w:p>
        </w:tc>
        <w:tc>
          <w:tcPr>
            <w:tcW w:w="0" w:type="auto"/>
            <w:shd w:val="clear"/>
            <w:vAlign w:val="center"/>
          </w:tcPr>
          <w:p w14:paraId="30BDA7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Usage-based</w:t>
            </w:r>
          </w:p>
        </w:tc>
      </w:tr>
      <w:tr w14:paraId="3A6DC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356185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5EB1F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Azure Key Vault</w:t>
            </w:r>
          </w:p>
        </w:tc>
        <w:tc>
          <w:tcPr>
            <w:tcW w:w="0" w:type="auto"/>
            <w:shd w:val="clear"/>
            <w:vAlign w:val="center"/>
          </w:tcPr>
          <w:p w14:paraId="7FA91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Securely store secrets/credentials</w:t>
            </w:r>
          </w:p>
        </w:tc>
        <w:tc>
          <w:tcPr>
            <w:tcW w:w="0" w:type="auto"/>
            <w:shd w:val="clear"/>
            <w:vAlign w:val="center"/>
          </w:tcPr>
          <w:p w14:paraId="71298E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Usage-based</w:t>
            </w:r>
          </w:p>
        </w:tc>
      </w:tr>
      <w:tr w14:paraId="0F10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A63F46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7BB3B8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Azure App Service</w:t>
            </w:r>
          </w:p>
        </w:tc>
        <w:tc>
          <w:tcPr>
            <w:tcW w:w="0" w:type="auto"/>
            <w:shd w:val="clear"/>
            <w:vAlign w:val="center"/>
          </w:tcPr>
          <w:p w14:paraId="7FDEA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Host your web portal/backend if deployed to Azure</w:t>
            </w:r>
          </w:p>
        </w:tc>
        <w:tc>
          <w:tcPr>
            <w:tcW w:w="0" w:type="auto"/>
            <w:shd w:val="clear"/>
            <w:vAlign w:val="center"/>
          </w:tcPr>
          <w:p w14:paraId="323818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Free tier </w:t>
            </w:r>
          </w:p>
        </w:tc>
      </w:tr>
      <w:tr w14:paraId="6FE38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B3CF0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4743F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Azure SQL Database</w:t>
            </w:r>
          </w:p>
        </w:tc>
        <w:tc>
          <w:tcPr>
            <w:tcW w:w="0" w:type="auto"/>
            <w:shd w:val="clear"/>
            <w:vAlign w:val="center"/>
          </w:tcPr>
          <w:p w14:paraId="09FB1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Cloud database if you choose Azure SQL</w:t>
            </w:r>
          </w:p>
        </w:tc>
        <w:tc>
          <w:tcPr>
            <w:tcW w:w="0" w:type="auto"/>
            <w:shd w:val="clear"/>
            <w:vAlign w:val="center"/>
          </w:tcPr>
          <w:p w14:paraId="38ADA9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🟡 </w:t>
            </w:r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Free/credit eligibility depends on offer,</w:t>
            </w:r>
            <w:bookmarkStart w:id="0" w:name="_GoBack"/>
            <w:bookmarkEnd w:id="0"/>
            <w:r>
              <w:rPr>
                <w:rStyle w:val="5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otherwise charged</w:t>
            </w:r>
          </w:p>
        </w:tc>
      </w:tr>
    </w:tbl>
    <w:p w14:paraId="4210F04B">
      <w:pPr>
        <w:rPr>
          <w:rFonts w:hint="default"/>
          <w:b/>
          <w:bCs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CA1243"/>
    <w:rsid w:val="7FCA1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2026-09-16T02:35:00Z</dcterms:created>
  <dc:creator>vass Bs</dc:creator>
  <cp:lastModifiedBy>vass Bs</cp:lastModifiedBy>
  <dcterms:modified xsi:type="dcterms:W3CDTF">2026-09-16T02:45:09Z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828B96053EDF481CB3383933CDFD0A61_11</vt:lpwstr>
  </property>
  <property fmtid="{D5CDD505-2E9C-101B-9397-08002B2CF9AE}" pid="4" name="KSOTemplateDocerSaveRecord">
    <vt:lpwstr>eyJoZGlkIjoiZDk3NTNhMjY3MDNmY2EyMGJiMGE4ZjMyOTlhNWQ0YTkiLCJ1c2VySWQiOiI1NjcyNjI3MDE0OTEifQ==</vt:lpwstr>
  </property>
</Properties>
</file>