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B732A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AZURE SUBSCRIPTION VENDING AND ONBOARDING PROCESS DESIGN</w:t>
      </w:r>
    </w:p>
    <w:p w14:paraId="5526DE5B">
      <w:pPr>
        <w:jc w:val="center"/>
        <w:rPr>
          <w:rFonts w:asciiTheme="majorHAnsi" w:hAnsiTheme="majorHAnsi" w:eastAsiaTheme="majorEastAsia" w:cstheme="majorBidi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ajorHAnsi" w:hAnsiTheme="majorHAnsi" w:eastAsiaTheme="majorEastAsia" w:cstheme="majorBidi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Project No.: 24CC3046-P0</w:t>
      </w:r>
      <w:r>
        <w:rPr>
          <w:rFonts w:hint="default" w:asciiTheme="majorHAnsi" w:hAnsiTheme="majorHAnsi" w:eastAsiaTheme="majorEastAsia" w:cstheme="majorBidi"/>
          <w:b/>
          <w:bCs/>
          <w:color w:val="000000" w:themeColor="text1"/>
          <w:szCs w:val="21"/>
          <w:lang w:val="en-IN"/>
          <w14:textFill>
            <w14:solidFill>
              <w14:schemeClr w14:val="tx1"/>
            </w14:solidFill>
          </w14:textFill>
        </w:rPr>
        <w:t>85</w:t>
      </w:r>
      <w:r>
        <w:rPr>
          <w:rFonts w:asciiTheme="majorHAnsi" w:hAnsiTheme="majorHAnsi" w:eastAsiaTheme="majorEastAsia" w:cstheme="majorBidi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|  Team No.: T1</w:t>
      </w:r>
      <w:r>
        <w:rPr>
          <w:rFonts w:hint="default" w:asciiTheme="majorHAnsi" w:hAnsiTheme="majorHAnsi" w:eastAsiaTheme="majorEastAsia" w:cstheme="majorBidi"/>
          <w:b/>
          <w:bCs/>
          <w:color w:val="000000" w:themeColor="text1"/>
          <w:szCs w:val="21"/>
          <w:lang w:val="en-IN"/>
          <w14:textFill>
            <w14:solidFill>
              <w14:schemeClr w14:val="tx1"/>
            </w14:solidFill>
          </w14:textFill>
        </w:rPr>
        <w:t>87</w:t>
      </w:r>
      <w:r>
        <w:rPr>
          <w:rFonts w:asciiTheme="majorHAnsi" w:hAnsiTheme="majorHAnsi" w:eastAsiaTheme="majorEastAsia" w:cstheme="majorBidi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|  Section: 52-MA</w:t>
      </w:r>
    </w:p>
    <w:p w14:paraId="0C00F0FF">
      <w:pPr>
        <w:jc w:val="center"/>
        <w:rPr>
          <w:rFonts w:asciiTheme="majorHAnsi" w:hAnsiTheme="majorHAnsi" w:eastAsiaTheme="majorEastAsia" w:cstheme="majorBidi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 w14:paraId="6BC2086D">
      <w:pP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t xml:space="preserve">Project Title: </w:t>
      </w:r>
      <w:r>
        <w:rPr>
          <w:rFonts w:ascii="Aptos" w:hAnsi="Aptos" w:eastAsia="Aptos" w:cs="Aptos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“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>AZURE SUBSCRIPTION VENDING AND ONBOARDING PROCESS DESIGN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”</w:t>
      </w:r>
    </w:p>
    <w:p w14:paraId="3BB6934F">
      <w:pP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</w:p>
    <w:p w14:paraId="28EB8ADA">
      <w:pPr>
        <w:spacing w:after="0"/>
        <w:rPr>
          <w:rFonts w:hint="default" w:ascii="Times New Roman" w:hAnsi="Times New Roman" w:eastAsia="Aptos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ptos" w:cs="Times New Roman"/>
          <w:color w:val="000000" w:themeColor="text1"/>
          <w:sz w:val="20"/>
          <w:szCs w:val="20"/>
          <w:u w:val="single"/>
          <w14:textFill>
            <w14:solidFill>
              <w14:schemeClr w14:val="tx1"/>
            </w14:solidFill>
          </w14:textFill>
        </w:rPr>
        <w:t>Mentor</w:t>
      </w:r>
      <w:r>
        <w:rPr>
          <w:rFonts w:hint="default" w:ascii="Times New Roman" w:hAnsi="Times New Roman" w:eastAsia="Aptos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:  Raju Anitha</w:t>
      </w:r>
    </w:p>
    <w:p w14:paraId="4E26F6C2">
      <w:pPr>
        <w:spacing w:after="0"/>
        <w:rPr>
          <w:rFonts w:hint="default" w:ascii="Times New Roman" w:hAnsi="Times New Roman" w:eastAsia="Aptos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7E9CD4D3">
      <w:pPr>
        <w:spacing w:after="0"/>
        <w:rPr>
          <w:rFonts w:hint="default" w:ascii="Times New Roman" w:hAnsi="Times New Roman" w:eastAsia="Aptos" w:cs="Times New Roman"/>
          <w:color w:val="000000" w:themeColor="text1"/>
          <w:sz w:val="20"/>
          <w:szCs w:val="20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ptos" w:cs="Times New Roman"/>
          <w:color w:val="000000" w:themeColor="text1"/>
          <w:sz w:val="20"/>
          <w:szCs w:val="20"/>
          <w:u w:val="single"/>
          <w14:textFill>
            <w14:solidFill>
              <w14:schemeClr w14:val="tx1"/>
            </w14:solidFill>
          </w14:textFill>
        </w:rPr>
        <w:t>Team Members:</w:t>
      </w:r>
    </w:p>
    <w:p w14:paraId="531AEAD6">
      <w:pPr>
        <w:spacing w:after="0"/>
        <w:rPr>
          <w:rFonts w:hint="default" w:ascii="Times New Roman" w:hAnsi="Times New Roman" w:eastAsia="Aptos" w:cs="Times New Roman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ptos" w:cs="Times New Roman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  <w:t>2400032180</w:t>
      </w:r>
      <w:r>
        <w:rPr>
          <w:rFonts w:hint="default" w:ascii="Times New Roman" w:hAnsi="Times New Roman" w:eastAsia="Aptos" w:cs="Times New Roman"/>
          <w:color w:val="000000" w:themeColor="text1"/>
          <w:sz w:val="20"/>
          <w:szCs w:val="20"/>
          <w:u w:val="none"/>
          <w:lang w:val="en-IN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Aptos" w:cs="Times New Roman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  <w:t>Nimmala Mounika</w:t>
      </w:r>
    </w:p>
    <w:p w14:paraId="494A735C">
      <w:pPr>
        <w:spacing w:after="0"/>
        <w:rPr>
          <w:rFonts w:hint="default" w:ascii="Times New Roman" w:hAnsi="Times New Roman" w:eastAsia="Aptos" w:cs="Times New Roman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ptos" w:cs="Times New Roman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  <w:t xml:space="preserve">2400032183 </w:t>
      </w:r>
      <w:r>
        <w:rPr>
          <w:rFonts w:hint="default" w:ascii="Times New Roman" w:hAnsi="Times New Roman" w:eastAsia="Aptos" w:cs="Times New Roman"/>
          <w:color w:val="000000" w:themeColor="text1"/>
          <w:sz w:val="20"/>
          <w:szCs w:val="20"/>
          <w:u w:val="none"/>
          <w:lang w:val="en-IN"/>
          <w14:textFill>
            <w14:solidFill>
              <w14:schemeClr w14:val="tx1"/>
            </w14:solidFill>
          </w14:textFill>
        </w:rPr>
        <w:t xml:space="preserve">- </w:t>
      </w:r>
      <w:r>
        <w:rPr>
          <w:rFonts w:hint="default" w:ascii="Times New Roman" w:hAnsi="Times New Roman" w:eastAsia="Aptos" w:cs="Times New Roman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  <w:t>Tirunagari Sai Tejaswi</w:t>
      </w:r>
    </w:p>
    <w:p w14:paraId="09BD9166">
      <w:pPr>
        <w:spacing w:after="0"/>
        <w:rPr>
          <w:rFonts w:hint="default" w:ascii="Times New Roman" w:hAnsi="Times New Roman" w:eastAsia="Aptos" w:cs="Times New Roman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ptos" w:cs="Times New Roman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  <w:t xml:space="preserve">2400032184 </w:t>
      </w:r>
      <w:r>
        <w:rPr>
          <w:rFonts w:hint="default" w:ascii="Times New Roman" w:hAnsi="Times New Roman" w:eastAsia="Aptos" w:cs="Times New Roman"/>
          <w:color w:val="000000" w:themeColor="text1"/>
          <w:sz w:val="20"/>
          <w:szCs w:val="20"/>
          <w:u w:val="none"/>
          <w:lang w:val="en-IN"/>
          <w14:textFill>
            <w14:solidFill>
              <w14:schemeClr w14:val="tx1"/>
            </w14:solidFill>
          </w14:textFill>
        </w:rPr>
        <w:t xml:space="preserve">- </w:t>
      </w:r>
      <w:r>
        <w:rPr>
          <w:rFonts w:hint="default" w:ascii="Times New Roman" w:hAnsi="Times New Roman" w:eastAsia="Aptos" w:cs="Times New Roman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  <w:t>Bandaru Sai Sri</w:t>
      </w:r>
      <w:r>
        <w:rPr>
          <w:rFonts w:hint="default" w:ascii="Times New Roman" w:hAnsi="Times New Roman" w:eastAsia="Aptos" w:cs="Times New Roman"/>
          <w:color w:val="000000" w:themeColor="text1"/>
          <w:sz w:val="20"/>
          <w:szCs w:val="20"/>
          <w:u w:val="none"/>
          <w:lang w:val="en-IN"/>
          <w14:textFill>
            <w14:solidFill>
              <w14:schemeClr w14:val="tx1"/>
            </w14:solidFill>
          </w14:textFill>
        </w:rPr>
        <w:t>j</w:t>
      </w:r>
      <w:r>
        <w:rPr>
          <w:rFonts w:hint="default" w:ascii="Times New Roman" w:hAnsi="Times New Roman" w:eastAsia="Aptos" w:cs="Times New Roman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  <w:t>a Anuhya</w:t>
      </w:r>
    </w:p>
    <w:p w14:paraId="2BCC5B53">
      <w:pPr>
        <w:spacing w:after="0"/>
        <w:rPr>
          <w:rFonts w:hint="default" w:ascii="Times New Roman" w:hAnsi="Times New Roman" w:eastAsia="Aptos" w:cs="Times New Roman"/>
          <w:color w:val="000000" w:themeColor="text1"/>
          <w:sz w:val="20"/>
          <w:szCs w:val="20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ptos" w:cs="Times New Roman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  <w:t>2400032228</w:t>
      </w:r>
      <w:r>
        <w:rPr>
          <w:rFonts w:hint="default" w:ascii="Times New Roman" w:hAnsi="Times New Roman" w:eastAsia="Aptos" w:cs="Times New Roman"/>
          <w:color w:val="000000" w:themeColor="text1"/>
          <w:sz w:val="20"/>
          <w:szCs w:val="20"/>
          <w:u w:val="none"/>
          <w:lang w:val="en-IN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Aptos" w:cs="Times New Roman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  <w:t>Veluguri SrI Vidhya</w:t>
      </w:r>
    </w:p>
    <w:p w14:paraId="3984AD65">
      <w:pPr>
        <w:rPr>
          <w:sz w:val="20"/>
          <w:szCs w:val="20"/>
        </w:rPr>
      </w:pPr>
    </w:p>
    <w:p w14:paraId="31E20919">
      <w:pPr>
        <w:rPr>
          <w:rFonts w:hint="default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SYSTEM ARCHITECTURE :</w:t>
      </w:r>
    </w:p>
    <w:p w14:paraId="58643B49">
      <w:r>
        <w:drawing>
          <wp:inline distT="0" distB="0" distL="114300" distR="114300">
            <wp:extent cx="5266690" cy="4046220"/>
            <wp:effectExtent l="0" t="0" r="381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04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1220A"/>
    <w:p w14:paraId="605620C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RCHITECTURE DESCRIPTION:</w:t>
      </w:r>
    </w:p>
    <w:p w14:paraId="55A09184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The proposed system follows a layered architecture consisting of the </w:t>
      </w:r>
      <w:r>
        <w:rPr>
          <w:rStyle w:val="6"/>
          <w:rFonts w:hint="default" w:ascii="Times New Roman" w:hAnsi="Times New Roman" w:cs="Times New Roman"/>
          <w:b w:val="0"/>
          <w:bCs w:val="0"/>
          <w:sz w:val="20"/>
          <w:szCs w:val="20"/>
        </w:rPr>
        <w:t>Application Layer, Automation Layer, Azure Environment, and Monitoring &amp; Governance Layer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>.</w:t>
      </w:r>
    </w:p>
    <w:p w14:paraId="593E0B7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Style w:val="6"/>
          <w:rFonts w:hint="default" w:ascii="Times New Roman" w:hAnsi="Times New Roman" w:cs="Times New Roman"/>
          <w:b/>
          <w:bCs/>
          <w:sz w:val="20"/>
          <w:szCs w:val="20"/>
        </w:rPr>
        <w:t>User Laye</w:t>
      </w:r>
      <w:r>
        <w:rPr>
          <w:rStyle w:val="6"/>
          <w:rFonts w:hint="default" w:ascii="Times New Roman" w:hAnsi="Times New Roman" w:cs="Times New Roman"/>
          <w:b w:val="0"/>
          <w:bCs w:val="0"/>
          <w:sz w:val="20"/>
          <w:szCs w:val="20"/>
        </w:rPr>
        <w:t>r: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 Project teams submit subscription requests, while administrators review and approve or reject the requests. </w:t>
      </w:r>
    </w:p>
    <w:p w14:paraId="682C005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Style w:val="6"/>
          <w:rFonts w:hint="default" w:ascii="Times New Roman" w:hAnsi="Times New Roman" w:cs="Times New Roman"/>
          <w:b/>
          <w:bCs/>
          <w:sz w:val="20"/>
          <w:szCs w:val="20"/>
        </w:rPr>
        <w:t>Application Layer</w:t>
      </w:r>
      <w:r>
        <w:rPr>
          <w:rStyle w:val="6"/>
          <w:rFonts w:hint="default" w:ascii="Times New Roman" w:hAnsi="Times New Roman" w:cs="Times New Roman"/>
          <w:b w:val="0"/>
          <w:bCs w:val="0"/>
          <w:sz w:val="20"/>
          <w:szCs w:val="20"/>
        </w:rPr>
        <w:t>: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 The web portal provides subscription request, validation, approval, status tracking, and audit functionalities. The backend APIs handle business logic, authentication, workflow processing, and notifications. </w:t>
      </w:r>
    </w:p>
    <w:p w14:paraId="483C772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Style w:val="6"/>
          <w:rFonts w:hint="default" w:ascii="Times New Roman" w:hAnsi="Times New Roman" w:cs="Times New Roman"/>
          <w:b/>
          <w:bCs/>
          <w:sz w:val="20"/>
          <w:szCs w:val="20"/>
        </w:rPr>
        <w:t>Database</w:t>
      </w:r>
      <w:r>
        <w:rPr>
          <w:rStyle w:val="6"/>
          <w:rFonts w:hint="default" w:ascii="Times New Roman" w:hAnsi="Times New Roman" w:cs="Times New Roman"/>
          <w:b w:val="0"/>
          <w:bCs w:val="0"/>
          <w:sz w:val="20"/>
          <w:szCs w:val="20"/>
        </w:rPr>
        <w:t>: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 Stores user details, subscription requests, approval status, provisioning status, and activity logs. </w:t>
      </w:r>
    </w:p>
    <w:p w14:paraId="4FFB9FA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</w:rPr>
      </w:pPr>
      <w:r>
        <w:rPr>
          <w:rStyle w:val="6"/>
          <w:rFonts w:hint="default" w:ascii="Times New Roman" w:hAnsi="Times New Roman" w:cs="Times New Roman"/>
          <w:b/>
          <w:bCs/>
        </w:rPr>
        <w:t>Automation Layer</w:t>
      </w:r>
      <w:r>
        <w:rPr>
          <w:rStyle w:val="6"/>
          <w:rFonts w:hint="default" w:ascii="Times New Roman" w:hAnsi="Times New Roman" w:cs="Times New Roman"/>
          <w:b w:val="0"/>
          <w:bCs w:val="0"/>
        </w:rPr>
        <w:t>:</w:t>
      </w:r>
      <w:r>
        <w:rPr>
          <w:rFonts w:hint="default" w:ascii="Times New Roman" w:hAnsi="Times New Roman" w:cs="Times New Roman"/>
          <w:b w:val="0"/>
          <w:bCs w:val="0"/>
        </w:rPr>
        <w:t xml:space="preserve"> After approval, the automation engine provisions and configures the Azure environment using Azure CLI, Azure APIs, or Azure DevOps. </w:t>
      </w:r>
    </w:p>
    <w:p w14:paraId="550234C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Style w:val="6"/>
          <w:rFonts w:hint="default" w:ascii="Times New Roman" w:hAnsi="Times New Roman" w:cs="Times New Roman"/>
          <w:b/>
          <w:bCs/>
          <w:sz w:val="20"/>
          <w:szCs w:val="20"/>
        </w:rPr>
        <w:t>Azure Environment: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 The newly provisioned subscription is organized using management groups and configured with resource groups, networking, Azure Policies, security controls, tags, and RBAC permissions. </w:t>
      </w:r>
    </w:p>
    <w:p w14:paraId="3082529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Style w:val="6"/>
          <w:rFonts w:hint="default" w:ascii="Times New Roman" w:hAnsi="Times New Roman" w:cs="Times New Roman"/>
          <w:b/>
          <w:bCs/>
          <w:sz w:val="20"/>
          <w:szCs w:val="20"/>
        </w:rPr>
        <w:t>Monitoring and Cost Management</w:t>
      </w:r>
      <w:r>
        <w:rPr>
          <w:rStyle w:val="6"/>
          <w:rFonts w:hint="default" w:ascii="Times New Roman" w:hAnsi="Times New Roman" w:cs="Times New Roman"/>
          <w:b w:val="0"/>
          <w:bCs w:val="0"/>
          <w:sz w:val="20"/>
          <w:szCs w:val="20"/>
        </w:rPr>
        <w:t>: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 Azure Monitor, Activity Logs, and Cost Management are used to monitor resources, maintain logs, configure alerts, and control expenditure. </w:t>
      </w:r>
    </w:p>
    <w:p w14:paraId="47B96B0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Style w:val="6"/>
          <w:rFonts w:hint="default" w:ascii="Times New Roman" w:hAnsi="Times New Roman" w:cs="Times New Roman"/>
          <w:b/>
          <w:bCs/>
          <w:sz w:val="20"/>
          <w:szCs w:val="20"/>
        </w:rPr>
        <w:t>Onboarding</w:t>
      </w:r>
      <w:r>
        <w:rPr>
          <w:rStyle w:val="6"/>
          <w:rFonts w:hint="default" w:ascii="Times New Roman" w:hAnsi="Times New Roman" w:cs="Times New Roman"/>
          <w:b w:val="0"/>
          <w:bCs w:val="0"/>
          <w:sz w:val="20"/>
          <w:szCs w:val="20"/>
        </w:rPr>
        <w:t>: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 After successful validation, the configured subscription is marked as ready and </w:t>
      </w:r>
      <w:bookmarkStart w:id="0" w:name="_GoBack"/>
      <w:bookmarkEnd w:id="0"/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handed over to the respective project team. </w:t>
      </w:r>
    </w:p>
    <w:p w14:paraId="7D85994A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Architecture Workflow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:</w:t>
      </w:r>
    </w:p>
    <w:p w14:paraId="08BE87A9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71135" cy="3514090"/>
            <wp:effectExtent l="0" t="0" r="12065" b="3810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5140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DA0FBCE">
      <w:pPr>
        <w:pStyle w:val="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Style w:val="6"/>
          <w:rFonts w:hint="default" w:ascii="Times New Roman" w:hAnsi="Times New Roman" w:cs="Times New Roman"/>
          <w:b w:val="0"/>
          <w:bCs w:val="0"/>
          <w:sz w:val="20"/>
          <w:szCs w:val="20"/>
        </w:rPr>
        <w:t>User Request → Validation → Approval → Subscription Provisioning → Policy &amp; Tag Configuration → Resource &amp; Network Setup → RBAC &amp; Security → Monitoring &amp; Cost Management → Validation → Subscription Handover</w:t>
      </w:r>
    </w:p>
    <w:p w14:paraId="4EF3CB6B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Technologies Used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72DC5181">
      <w:pPr>
        <w:pStyle w:val="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Style w:val="6"/>
          <w:rFonts w:hint="default" w:ascii="Times New Roman" w:hAnsi="Times New Roman" w:cs="Times New Roman"/>
          <w:b w:val="0"/>
          <w:bCs w:val="0"/>
          <w:sz w:val="20"/>
          <w:szCs w:val="20"/>
        </w:rPr>
        <w:t>Visual Studio Code, Microsoft Azure Portal, Azure CLI/Azure APIs, Postman/Browser, Git, GitHub, and Database.</w:t>
      </w:r>
    </w:p>
    <w:p w14:paraId="48EFE382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C15B4D6"/>
    <w:multiLevelType w:val="multilevel"/>
    <w:tmpl w:val="4C15B4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A236AA"/>
    <w:rsid w:val="50A23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2026-09-16T02:20:00Z</dcterms:created>
  <dc:creator>vass Bs</dc:creator>
  <cp:lastModifiedBy>vass Bs</cp:lastModifiedBy>
  <dcterms:modified xsi:type="dcterms:W3CDTF">2026-09-16T02:32:56Z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4662DC178D23428EB8B87FF30DAC6A07_11</vt:lpwstr>
  </property>
  <property fmtid="{D5CDD505-2E9C-101B-9397-08002B2CF9AE}" pid="4" name="KSOTemplateDocerSaveRecord">
    <vt:lpwstr>eyJoZGlkIjoiZDk3NTNhMjY3MDNmY2EyMGJiMGE4ZjMyOTlhNWQ0YTkiLCJ1c2VySWQiOiI1NjcyNjI3MDE0OTEifQ==</vt:lpwstr>
  </property>
</Properties>
</file>