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291"/>
        <w:gridCol w:w="2424"/>
        <w:gridCol w:w="3406"/>
        <w:gridCol w:w="3659"/>
      </w:tblGrid>
      <w:tr w:rsidR="00625985" w:rsidRPr="00625985" w14:paraId="2B9AFEB3" w14:textId="77777777" w:rsidTr="00625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4CBF0" w14:textId="77777777" w:rsidR="00625985" w:rsidRPr="00625985" w:rsidRDefault="00625985" w:rsidP="00625985">
            <w:pPr>
              <w:rPr>
                <w:rFonts w:ascii="Times New Roman" w:hAnsi="Times New Roman" w:cs="Times New Roman"/>
                <w:b/>
                <w:bCs/>
              </w:rPr>
            </w:pPr>
            <w:r w:rsidRPr="00625985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FE092BA" w14:textId="77777777" w:rsidR="00625985" w:rsidRPr="00625985" w:rsidRDefault="00625985" w:rsidP="0062598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Problem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A98F" w14:textId="77777777" w:rsidR="00625985" w:rsidRPr="00625985" w:rsidRDefault="00625985" w:rsidP="0062598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Approach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AB16F" w14:textId="77777777" w:rsidR="00625985" w:rsidRPr="00625985" w:rsidRDefault="00625985" w:rsidP="0062598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Findings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5CB0A" w14:textId="77777777" w:rsidR="00625985" w:rsidRPr="00625985" w:rsidRDefault="00625985" w:rsidP="0062598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Relevance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to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our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</w:rPr>
              <w:t>project</w:t>
            </w:r>
            <w:proofErr w:type="spellEnd"/>
          </w:p>
        </w:tc>
      </w:tr>
      <w:tr w:rsidR="00625985" w:rsidRPr="00625985" w14:paraId="3421D722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D81D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1.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Fasya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&amp; Alda (2025).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Volunteer Recruitment Information System with Interview Scheduling Using Web-Based Greedy Algorithm.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5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0454CE7E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Fragmented volunteer recruitment using Google Forms and WhatsApp, including manual verification and interview scheduling.</w:t>
            </w:r>
          </w:p>
        </w:tc>
        <w:tc>
          <w:tcPr>
            <w:tcW w:w="0" w:type="auto"/>
            <w:vAlign w:val="center"/>
            <w:hideMark/>
          </w:tcPr>
          <w:p w14:paraId="4482784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Developed a web-based recruitment system using the Waterfall model, PHP, MySQL, and a greedy scheduling algorithm.</w:t>
            </w:r>
          </w:p>
        </w:tc>
        <w:tc>
          <w:tcPr>
            <w:tcW w:w="0" w:type="auto"/>
            <w:vAlign w:val="center"/>
            <w:hideMark/>
          </w:tcPr>
          <w:p w14:paraId="5C4D716B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The system automates registration, document verification, and interview scheduling.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Interview scheduling differs from matching volunteers to event roles; the reported implementation does not establish effectiveness in our university context.</w:t>
            </w:r>
          </w:p>
        </w:tc>
        <w:tc>
          <w:tcPr>
            <w:tcW w:w="0" w:type="auto"/>
            <w:vAlign w:val="center"/>
            <w:hideMark/>
          </w:tcPr>
          <w:p w14:paraId="2204FB1A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Provides a close example of replacing fragmented recruitment tools with an integrated platform. </w:t>
            </w:r>
            <w:proofErr w:type="spellStart"/>
            <w:r w:rsidRPr="00625985">
              <w:rPr>
                <w:rFonts w:ascii="Times New Roman" w:hAnsi="Times New Roman" w:cs="Times New Roman"/>
              </w:rPr>
              <w:t>Informs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workflows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and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scheduling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requirements</w:t>
            </w:r>
            <w:proofErr w:type="spellEnd"/>
            <w:r w:rsidRPr="00625985">
              <w:rPr>
                <w:rFonts w:ascii="Times New Roman" w:hAnsi="Times New Roman" w:cs="Times New Roman"/>
              </w:rPr>
              <w:t>. (</w:t>
            </w:r>
            <w:hyperlink r:id="rId6" w:tooltip="Volunteer Recruitment Information System with Interview Scheduling Using Web-Based Greedy Algorithm | Journal of Information Systems and Technology Research" w:history="1">
              <w:r w:rsidRPr="00625985">
                <w:rPr>
                  <w:rStyle w:val="ac"/>
                  <w:rFonts w:ascii="Times New Roman" w:hAnsi="Times New Roman" w:cs="Times New Roman"/>
                </w:rPr>
                <w:t>aira.or.id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2AE6178A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0028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2.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Schönböck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et al. (2025).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Towards Goal-Oriented Recommender- and </w:t>
            </w:r>
            <w:proofErr w:type="spellStart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DataSpace</w:t>
            </w:r>
            <w:proofErr w:type="spellEnd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-Driven Volunteering.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7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DB8F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Difficulty aligning volunteers’ goals and competencies with activities across nonprofit organizations.</w:t>
            </w:r>
          </w:p>
        </w:tc>
        <w:tc>
          <w:tcPr>
            <w:tcW w:w="0" w:type="auto"/>
            <w:vAlign w:val="center"/>
            <w:hideMark/>
          </w:tcPr>
          <w:p w14:paraId="340E1C5F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Presents a digital platform prototype combining goal-oriented volunteering, recommender technologies, and dataspace concepts.</w:t>
            </w:r>
          </w:p>
        </w:tc>
        <w:tc>
          <w:tcPr>
            <w:tcW w:w="0" w:type="auto"/>
            <w:vAlign w:val="center"/>
            <w:hideMark/>
          </w:tcPr>
          <w:p w14:paraId="1C63425A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Demonstrates an initial approach to goal-to-activity recommendations.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Limitations: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The paper identifies richer user-profile integration and adaptation to changing preferences as future work.</w:t>
            </w:r>
          </w:p>
        </w:tc>
        <w:tc>
          <w:tcPr>
            <w:tcW w:w="0" w:type="auto"/>
            <w:vAlign w:val="center"/>
            <w:hideMark/>
          </w:tcPr>
          <w:p w14:paraId="26F5485E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Informs volunteer profiles, personalized recommendations, and the distinction between matching personal goals and meeting role requirements.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8" w:tooltip="https://press.um.si/index.php/ump/catalog/view/962/1428/4798" w:history="1">
              <w:r w:rsidRPr="00625985">
                <w:rPr>
                  <w:rStyle w:val="ac"/>
                  <w:rFonts w:ascii="Times New Roman" w:hAnsi="Times New Roman" w:cs="Times New Roman"/>
                </w:rPr>
                <w:t>press.um.si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7FC04EE5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D75B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3. Prabakaran et al. (2024).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ML assisted enhanced recommendation system for reliable volunteering environment.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9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FB02D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Helping organizations identify reliable volunteers in an online volunteering environment.</w:t>
            </w:r>
          </w:p>
        </w:tc>
        <w:tc>
          <w:tcPr>
            <w:tcW w:w="0" w:type="auto"/>
            <w:vAlign w:val="center"/>
            <w:hideMark/>
          </w:tcPr>
          <w:p w14:paraId="7D267A52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Compares ID3, CART, and C4.5 decision-tree classification methods using a constructed dataset.</w:t>
            </w:r>
          </w:p>
        </w:tc>
        <w:tc>
          <w:tcPr>
            <w:tcW w:w="0" w:type="auto"/>
            <w:vAlign w:val="center"/>
            <w:hideMark/>
          </w:tcPr>
          <w:p w14:paraId="482FA30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Reports that C4.5 performs best among the compared methods on the study dataset.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Reliability prediction differs from role suitability, and performance on that dataset cannot be assumed for AITU students.</w:t>
            </w:r>
          </w:p>
        </w:tc>
        <w:tc>
          <w:tcPr>
            <w:tcW w:w="0" w:type="auto"/>
            <w:vAlign w:val="center"/>
            <w:hideMark/>
          </w:tcPr>
          <w:p w14:paraId="668E64DD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Provides a machine-learning alternative for the technology comparison. Helps explain why a transparent scoring baseline may be preferable before sufficient local data exist.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10" w:tooltip="ML assisted enhanced recommendation system for reliable volunteering environment" w:history="1">
              <w:r w:rsidRPr="00625985">
                <w:rPr>
                  <w:rStyle w:val="ac"/>
                  <w:rFonts w:ascii="Times New Roman" w:hAnsi="Times New Roman" w:cs="Times New Roman"/>
                </w:rPr>
                <w:t>www.sciencedirect.com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1D41E83D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9484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4. Kaur, Pazour &amp;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Ausseil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(2024).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An optimization framework to provide volunteers with task selection autonomy and group opportunities.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1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1400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Assigning volunteer groups to tasks while accounting for skills, preferences, and willingness to participate.</w:t>
            </w:r>
          </w:p>
        </w:tc>
        <w:tc>
          <w:tcPr>
            <w:tcW w:w="0" w:type="auto"/>
            <w:vAlign w:val="center"/>
            <w:hideMark/>
          </w:tcPr>
          <w:p w14:paraId="48D22F9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Uses integer programming to generate task menus and form volunteer groups; evaluates the framework through a partner nonprofit case study.</w:t>
            </w:r>
          </w:p>
        </w:tc>
        <w:tc>
          <w:tcPr>
            <w:tcW w:w="0" w:type="auto"/>
            <w:vAlign w:val="center"/>
            <w:hideMark/>
          </w:tcPr>
          <w:p w14:paraId="4278DF84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Task menus and strategic group formation improve selected performance measures, with trade-offs between group formation and other benefits.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Limitations: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Preferences and availability can be uncertain; the case concerns remote educational-content tasks.</w:t>
            </w:r>
          </w:p>
        </w:tc>
        <w:tc>
          <w:tcPr>
            <w:tcW w:w="0" w:type="auto"/>
            <w:vAlign w:val="center"/>
            <w:hideMark/>
          </w:tcPr>
          <w:p w14:paraId="3223AA1D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Supports considering volunteer choice alongside organizer requirements. Informs matching constraints and evaluation of assignment quality. (</w:t>
            </w:r>
            <w:hyperlink r:id="rId12" w:tooltip="An optimization framework to provide volunteers with task selection autonomy and group opportunities" w:history="1">
              <w:r w:rsidRPr="00625985">
                <w:rPr>
                  <w:rStyle w:val="ac"/>
                  <w:rFonts w:ascii="Times New Roman" w:hAnsi="Times New Roman" w:cs="Times New Roman"/>
                  <w:lang w:val="en-US"/>
                </w:rPr>
                <w:t>optimization-online.org</w:t>
              </w:r>
            </w:hyperlink>
            <w:r w:rsidRPr="0062598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25985" w:rsidRPr="00625985" w14:paraId="0D1D2062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2D80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5. Prats López et al. (2024).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Behind the Crowdsourcing Platform: Assessing Volunteer Recruitment and Engagement Instruments.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3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949F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Which recruitment and engagement instruments help sustain participation in online crowdsourcing projects.</w:t>
            </w:r>
          </w:p>
        </w:tc>
        <w:tc>
          <w:tcPr>
            <w:tcW w:w="0" w:type="auto"/>
            <w:vAlign w:val="center"/>
            <w:hideMark/>
          </w:tcPr>
          <w:p w14:paraId="443740A1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Empirical analysis of volunteer activity and recruitment and engagement instruments on a cultural-heritage crowdsourcing platform.</w:t>
            </w:r>
          </w:p>
        </w:tc>
        <w:tc>
          <w:tcPr>
            <w:tcW w:w="0" w:type="auto"/>
            <w:vAlign w:val="center"/>
            <w:hideMark/>
          </w:tcPr>
          <w:p w14:paraId="16B72773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Timely communication and faster quality checks support engagement; experienced participants contribute to platform activity.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Online cultural-heritage contributions differ from attendance and task completion at university events.</w:t>
            </w:r>
          </w:p>
        </w:tc>
        <w:tc>
          <w:tcPr>
            <w:tcW w:w="0" w:type="auto"/>
            <w:vAlign w:val="center"/>
            <w:hideMark/>
          </w:tcPr>
          <w:p w14:paraId="0B711AC8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Supports timely updates, application feedback, and progress visibility. Suggests measuring participation and responsiveness alongside technical correctness. (</w:t>
            </w:r>
            <w:hyperlink r:id="rId14" w:tooltip="Behind the Crowdsourcing Platform: Assessing Volunteer Recruitment and Engagement Instruments" w:history="1">
              <w:r w:rsidRPr="00625985">
                <w:rPr>
                  <w:rStyle w:val="ac"/>
                  <w:rFonts w:ascii="Times New Roman" w:hAnsi="Times New Roman" w:cs="Times New Roman"/>
                  <w:lang w:val="en-US"/>
                </w:rPr>
                <w:t>journals.sagepub.com</w:t>
              </w:r>
            </w:hyperlink>
            <w:r w:rsidRPr="0062598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25985" w:rsidRPr="00625985" w14:paraId="483F1E33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0C25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6.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Toncheva-Zlatkova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(2023).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Communication with Volunteers: Challenges and Solutions for Civil Society Organization.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5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EB84A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Challenges in communicating with potential and active volunteers throughout their participation.</w:t>
            </w:r>
          </w:p>
        </w:tc>
        <w:tc>
          <w:tcPr>
            <w:tcW w:w="0" w:type="auto"/>
            <w:vAlign w:val="center"/>
            <w:hideMark/>
          </w:tcPr>
          <w:p w14:paraId="2840C85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Discusses communication practices and proposes a communication plan covering recruitment and communication before, during, and after activities.</w:t>
            </w:r>
          </w:p>
        </w:tc>
        <w:tc>
          <w:tcPr>
            <w:tcW w:w="0" w:type="auto"/>
            <w:vAlign w:val="center"/>
            <w:hideMark/>
          </w:tcPr>
          <w:p w14:paraId="5852D38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Provides a structured framework for planning volunteer communication.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The communication plan does not demonstrate that a particular platform or notification mechanism reduces missed deadlines.</w:t>
            </w:r>
          </w:p>
        </w:tc>
        <w:tc>
          <w:tcPr>
            <w:tcW w:w="0" w:type="auto"/>
            <w:vAlign w:val="center"/>
            <w:hideMark/>
          </w:tcPr>
          <w:p w14:paraId="7C89A9AC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Informs announcements, reminders, instructions, and post-event feedback. </w:t>
            </w:r>
            <w:proofErr w:type="spellStart"/>
            <w:r w:rsidRPr="00625985">
              <w:rPr>
                <w:rFonts w:ascii="Times New Roman" w:hAnsi="Times New Roman" w:cs="Times New Roman"/>
              </w:rPr>
              <w:t>Helps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structure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interview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questions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about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communication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failures</w:t>
            </w:r>
            <w:proofErr w:type="spellEnd"/>
            <w:r w:rsidRPr="00625985">
              <w:rPr>
                <w:rFonts w:ascii="Times New Roman" w:hAnsi="Times New Roman" w:cs="Times New Roman"/>
              </w:rPr>
              <w:t>. (</w:t>
            </w:r>
            <w:proofErr w:type="spellStart"/>
            <w:r w:rsidRPr="00625985">
              <w:rPr>
                <w:rFonts w:ascii="Times New Roman" w:hAnsi="Times New Roman" w:cs="Times New Roman"/>
              </w:rPr>
              <w:fldChar w:fldCharType="begin"/>
            </w:r>
            <w:r w:rsidRPr="00625985">
              <w:rPr>
                <w:rFonts w:ascii="Times New Roman" w:hAnsi="Times New Roman" w:cs="Times New Roman"/>
              </w:rPr>
              <w:instrText>HYPERLINK "https://jomsa.science/index.php/jomsa/article/view/34?utm_source=chatgpt.com" \o "COMMUNICATION WITH VOLUNTEERS: CHALLENGES AND SOLUTIONS FOR CIVIL SOCIETY ORGANIZATION"</w:instrText>
            </w:r>
            <w:r w:rsidRPr="00625985">
              <w:rPr>
                <w:rFonts w:ascii="Times New Roman" w:hAnsi="Times New Roman" w:cs="Times New Roman"/>
              </w:rPr>
            </w:r>
            <w:r w:rsidRPr="00625985">
              <w:rPr>
                <w:rFonts w:ascii="Times New Roman" w:hAnsi="Times New Roman" w:cs="Times New Roman"/>
              </w:rPr>
              <w:fldChar w:fldCharType="separate"/>
            </w:r>
            <w:r w:rsidRPr="00625985">
              <w:rPr>
                <w:rStyle w:val="ac"/>
                <w:rFonts w:ascii="Times New Roman" w:hAnsi="Times New Roman" w:cs="Times New Roman"/>
              </w:rPr>
              <w:t>jomsa.science</w:t>
            </w:r>
            <w:proofErr w:type="spellEnd"/>
            <w:r w:rsidRPr="00625985">
              <w:rPr>
                <w:rFonts w:ascii="Times New Roman" w:hAnsi="Times New Roman" w:cs="Times New Roman"/>
              </w:rPr>
              <w:fldChar w:fldCharType="end"/>
            </w:r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3DBC738A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67F7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7. Ruohonen &amp; Backholm (2023).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Matter of trust: How to include digital volunteers in crisis management.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6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317F359D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Barriers to including digital volunteers in formal crisis-management activities.</w:t>
            </w:r>
          </w:p>
        </w:tc>
        <w:tc>
          <w:tcPr>
            <w:tcW w:w="0" w:type="auto"/>
            <w:vAlign w:val="center"/>
            <w:hideMark/>
          </w:tcPr>
          <w:p w14:paraId="78389B6D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Examines digital volunteer inclusion through issues of trust, coordination, and organizational compatibility.</w:t>
            </w:r>
          </w:p>
        </w:tc>
        <w:tc>
          <w:tcPr>
            <w:tcW w:w="0" w:type="auto"/>
            <w:vAlign w:val="center"/>
            <w:hideMark/>
          </w:tcPr>
          <w:p w14:paraId="2EAFAB2C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Communication, trust, security, and organizational compatibility influence cooperation.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Emergency response involves different responsibilities and risks from routine university events.</w:t>
            </w:r>
          </w:p>
        </w:tc>
        <w:tc>
          <w:tcPr>
            <w:tcW w:w="0" w:type="auto"/>
            <w:vAlign w:val="center"/>
            <w:hideMark/>
          </w:tcPr>
          <w:p w14:paraId="24467327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Informs clear coordinator responsibilities, access permissions, and communication procedures. </w:t>
            </w:r>
            <w:proofErr w:type="spellStart"/>
            <w:r w:rsidRPr="00625985">
              <w:rPr>
                <w:rFonts w:ascii="Times New Roman" w:hAnsi="Times New Roman" w:cs="Times New Roman"/>
              </w:rPr>
              <w:t>Provides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background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for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examining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fragmented</w:t>
            </w:r>
            <w:proofErr w:type="spellEnd"/>
            <w:r w:rsidRPr="006259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5985">
              <w:rPr>
                <w:rFonts w:ascii="Times New Roman" w:hAnsi="Times New Roman" w:cs="Times New Roman"/>
              </w:rPr>
              <w:t>coordination</w:t>
            </w:r>
            <w:proofErr w:type="spellEnd"/>
            <w:r w:rsidRPr="00625985">
              <w:rPr>
                <w:rFonts w:ascii="Times New Roman" w:hAnsi="Times New Roman" w:cs="Times New Roman"/>
              </w:rPr>
              <w:t>. (</w:t>
            </w:r>
            <w:hyperlink r:id="rId17" w:tooltip="Matter of trust: How to include digital volunteers in crisis management - Ruohonen - 2023 - Journal of Contingencies and Crisis Management" w:history="1">
              <w:r w:rsidRPr="00625985">
                <w:rPr>
                  <w:rStyle w:val="ac"/>
                  <w:rFonts w:ascii="Times New Roman" w:hAnsi="Times New Roman" w:cs="Times New Roman"/>
                </w:rPr>
                <w:t>doi.org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1AC0F771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3CD8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8. Power &amp; Nedvetskaya (2022).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An Empirical Exploration of Volunteer Management Theory and Practice: Considerations for Sport Events in a “Post-COVID-19” World.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8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548FD76D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The gap between recommended volunteer-management practices and their implementation at sport events.</w:t>
            </w:r>
          </w:p>
        </w:tc>
        <w:tc>
          <w:tcPr>
            <w:tcW w:w="0" w:type="auto"/>
            <w:vAlign w:val="center"/>
            <w:hideMark/>
          </w:tcPr>
          <w:p w14:paraId="2D4849D7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Empirical research involving volunteers and volunteer managers in the UK, examining experiences and management practices.</w:t>
            </w:r>
          </w:p>
        </w:tc>
        <w:tc>
          <w:tcPr>
            <w:tcW w:w="0" w:type="auto"/>
            <w:vAlign w:val="center"/>
            <w:hideMark/>
          </w:tcPr>
          <w:p w14:paraId="494588DC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Highlights the importance of planning, meaningful roles, communication, recognition, and understanding volunteers’ needs.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Limitations: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The authors call for further research across contexts; the pandemic and sport-event setting affect applicability.</w:t>
            </w:r>
          </w:p>
        </w:tc>
        <w:tc>
          <w:tcPr>
            <w:tcW w:w="0" w:type="auto"/>
            <w:vAlign w:val="center"/>
            <w:hideMark/>
          </w:tcPr>
          <w:p w14:paraId="0BA02BE7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Informs role descriptions, preparation, organizer support, and usability questions. Supports evaluating the volunteer experience beyond successful registration. (</w:t>
            </w:r>
            <w:hyperlink r:id="rId19" w:tooltip="An Empirical Exploration of Volunteer Management Theory and Practice: Considerations for Sport Events in a “Post-COVID-19” World" w:history="1">
              <w:r w:rsidRPr="00625985">
                <w:rPr>
                  <w:rStyle w:val="ac"/>
                  <w:rFonts w:ascii="Times New Roman" w:hAnsi="Times New Roman" w:cs="Times New Roman"/>
                  <w:lang w:val="en-US"/>
                </w:rPr>
                <w:t>pmc.ncbi.nlm.nih.gov</w:t>
              </w:r>
            </w:hyperlink>
            <w:r w:rsidRPr="0062598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25985" w:rsidRPr="00625985" w14:paraId="216070D5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5834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9. Kővári &amp; Raffay-Danyi (2022).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Can festivals bring social change in an </w:t>
            </w:r>
            <w:proofErr w:type="spellStart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ECoC</w:t>
            </w:r>
            <w:proofErr w:type="spellEnd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city? Emotional intelligence and willingness to volunteer among university students.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0" w:history="1">
              <w:r w:rsidRPr="00625985">
                <w:rPr>
                  <w:rStyle w:val="ac"/>
                  <w:rFonts w:ascii="Times New Roman" w:hAnsi="Times New Roman" w:cs="Times New Roman"/>
                  <w:lang w:val="en-US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1B01BEE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University students’ willingness to volunteer for a cultural-event </w:t>
            </w:r>
            <w:proofErr w:type="spellStart"/>
            <w:r w:rsidRPr="00625985">
              <w:rPr>
                <w:rFonts w:ascii="Times New Roman" w:hAnsi="Times New Roman" w:cs="Times New Roman"/>
                <w:lang w:val="en-US"/>
              </w:rPr>
              <w:t>programme</w:t>
            </w:r>
            <w:proofErr w:type="spellEnd"/>
            <w:r w:rsidRPr="00625985">
              <w:rPr>
                <w:rFonts w:ascii="Times New Roman" w:hAnsi="Times New Roman" w:cs="Times New Roman"/>
                <w:lang w:val="en-US"/>
              </w:rPr>
              <w:t xml:space="preserve"> and factors associated with participation.</w:t>
            </w:r>
          </w:p>
        </w:tc>
        <w:tc>
          <w:tcPr>
            <w:tcW w:w="0" w:type="auto"/>
            <w:vAlign w:val="center"/>
            <w:hideMark/>
          </w:tcPr>
          <w:p w14:paraId="2D0548B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Survey-based research examining students’ cultural attitudes, emotional intelligence, and willingness to volunteer.</w:t>
            </w:r>
          </w:p>
        </w:tc>
        <w:tc>
          <w:tcPr>
            <w:tcW w:w="0" w:type="auto"/>
            <w:vAlign w:val="center"/>
            <w:hideMark/>
          </w:tcPr>
          <w:p w14:paraId="3EC328B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Examines factors associated with </w:t>
            </w:r>
            <w:proofErr w:type="gramStart"/>
            <w:r w:rsidRPr="00625985">
              <w:rPr>
                <w:rFonts w:ascii="Times New Roman" w:hAnsi="Times New Roman" w:cs="Times New Roman"/>
                <w:lang w:val="en-US"/>
              </w:rPr>
              <w:t>students’</w:t>
            </w:r>
            <w:proofErr w:type="gramEnd"/>
            <w:r w:rsidRPr="00625985">
              <w:rPr>
                <w:rFonts w:ascii="Times New Roman" w:hAnsi="Times New Roman" w:cs="Times New Roman"/>
                <w:lang w:val="en-US"/>
              </w:rPr>
              <w:t xml:space="preserve"> stated willingness to participate.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Stated willingness does not establish actual participation; findings from a Hungarian cultural </w:t>
            </w:r>
            <w:proofErr w:type="spellStart"/>
            <w:r w:rsidRPr="00625985">
              <w:rPr>
                <w:rFonts w:ascii="Times New Roman" w:hAnsi="Times New Roman" w:cs="Times New Roman"/>
                <w:lang w:val="en-US"/>
              </w:rPr>
              <w:t>programme</w:t>
            </w:r>
            <w:proofErr w:type="spellEnd"/>
            <w:r w:rsidRPr="00625985">
              <w:rPr>
                <w:rFonts w:ascii="Times New Roman" w:hAnsi="Times New Roman" w:cs="Times New Roman"/>
                <w:lang w:val="en-US"/>
              </w:rPr>
              <w:t xml:space="preserve"> require local validation.</w:t>
            </w:r>
          </w:p>
        </w:tc>
        <w:tc>
          <w:tcPr>
            <w:tcW w:w="0" w:type="auto"/>
            <w:vAlign w:val="center"/>
            <w:hideMark/>
          </w:tcPr>
          <w:p w14:paraId="5FFDA99A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Provides background for student recruitment and survey design. Supports investigating interests and motivations rather than assuming all students seek the same opportunities.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21" w:tooltip="Full article: Can festivals bring social change in an ECoC city? Emotional intelligence and willingness to volunteer among university students" w:history="1">
              <w:r w:rsidRPr="00625985">
                <w:rPr>
                  <w:rStyle w:val="ac"/>
                  <w:rFonts w:ascii="Times New Roman" w:hAnsi="Times New Roman" w:cs="Times New Roman"/>
                </w:rPr>
                <w:t>www.tandfonline.com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2B6C6BD0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66D6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10. Arnon, Almog-Bar &amp; Cnaan (2023).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Volunteer </w:t>
            </w:r>
            <w:proofErr w:type="spellStart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Engageability</w:t>
            </w:r>
            <w:proofErr w:type="spellEnd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: A Conceptual Framework.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2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6CFD9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How organizations can engage and support volunteers after recruitment.</w:t>
            </w:r>
          </w:p>
        </w:tc>
        <w:tc>
          <w:tcPr>
            <w:tcW w:w="0" w:type="auto"/>
            <w:vAlign w:val="center"/>
            <w:hideMark/>
          </w:tcPr>
          <w:p w14:paraId="0FF082D7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Synthesizes literature into four clusters: values, management, physical resources, and supportive connections.</w:t>
            </w:r>
          </w:p>
        </w:tc>
        <w:tc>
          <w:tcPr>
            <w:tcW w:w="0" w:type="auto"/>
            <w:vAlign w:val="center"/>
            <w:hideMark/>
          </w:tcPr>
          <w:p w14:paraId="18D81EC4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Offers a framework for assessing organizational practices, including technological infrastructure.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Limitations: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It is a conceptual framework rather than an experimental evaluation of software features.</w:t>
            </w:r>
          </w:p>
        </w:tc>
        <w:tc>
          <w:tcPr>
            <w:tcW w:w="0" w:type="auto"/>
            <w:vAlign w:val="center"/>
            <w:hideMark/>
          </w:tcPr>
          <w:p w14:paraId="36210292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Helps define organizational requirements and evaluate whether the platform supports coordination and ongoing participation, alongside recruitment.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23" w:tooltip="Volunteer Engageability: A Conceptual Framework" w:history="1">
              <w:r w:rsidRPr="00625985">
                <w:rPr>
                  <w:rStyle w:val="ac"/>
                  <w:rFonts w:ascii="Times New Roman" w:hAnsi="Times New Roman" w:cs="Times New Roman"/>
                </w:rPr>
                <w:t>journals.sagepub.com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4EBDD96B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DD0E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11.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Manshadi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&amp;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Rodilitz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(2022).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Online Policies for Efficient Volunteer Crowdsourcing.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4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D61C3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Notifying volunteers about time-sensitive tasks without reducing engagement through excessive notifications.</w:t>
            </w:r>
          </w:p>
        </w:tc>
        <w:tc>
          <w:tcPr>
            <w:tcW w:w="0" w:type="auto"/>
            <w:vAlign w:val="center"/>
            <w:hideMark/>
          </w:tcPr>
          <w:p w14:paraId="3CFC6376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Develops a mathematical model and an online notification policy; evaluates performance using Food Rescue U.S. data.</w:t>
            </w:r>
          </w:p>
        </w:tc>
        <w:tc>
          <w:tcPr>
            <w:tcW w:w="0" w:type="auto"/>
            <w:vAlign w:val="center"/>
            <w:hideMark/>
          </w:tcPr>
          <w:p w14:paraId="398075D1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Provides a policy with theoretical guarantees under the model and evaluates it using operational data.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Limitations: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Results depend on assumptions about volunteer responses and inactivity; food recovery differs from planned university events.</w:t>
            </w:r>
          </w:p>
        </w:tc>
        <w:tc>
          <w:tcPr>
            <w:tcW w:w="0" w:type="auto"/>
            <w:vAlign w:val="center"/>
            <w:hideMark/>
          </w:tcPr>
          <w:p w14:paraId="1034A580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Directly informs notification design. Suggests evaluating missed tasks and notification burden together, rather than assuming more reminders are always beneficial.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25" w:tooltip="Online Policies for Efficient Volunteer Crowdsourcing" w:history="1">
              <w:r w:rsidRPr="00625985">
                <w:rPr>
                  <w:rStyle w:val="ac"/>
                  <w:rFonts w:ascii="Times New Roman" w:hAnsi="Times New Roman" w:cs="Times New Roman"/>
                </w:rPr>
                <w:t>pubsonline.informs.org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  <w:tr w:rsidR="00625985" w:rsidRPr="00625985" w14:paraId="44A24FF1" w14:textId="77777777" w:rsidTr="00625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C75E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12. </w:t>
            </w:r>
            <w:proofErr w:type="spellStart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Manshadi</w:t>
            </w:r>
            <w:proofErr w:type="spellEnd"/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, Rodilitz, Saban &amp; Suresh (2025, online publication).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Redesigning </w:t>
            </w:r>
            <w:proofErr w:type="spellStart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>VolunteerMatch’s</w:t>
            </w:r>
            <w:proofErr w:type="spellEnd"/>
            <w:r w:rsidRPr="0062598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Search Algorithm: Toward More Equitable Access to Volunteers.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6" w:history="1">
              <w:r w:rsidRPr="00625985">
                <w:rPr>
                  <w:rStyle w:val="ac"/>
                  <w:rFonts w:ascii="Times New Roman" w:hAnsi="Times New Roman" w:cs="Times New Roman"/>
                </w:rPr>
                <w:t>DOI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F57C3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>Ranking opportunities to increase connections without repeatedly giving visibility to only a few listings.</w:t>
            </w:r>
          </w:p>
        </w:tc>
        <w:tc>
          <w:tcPr>
            <w:tcW w:w="0" w:type="auto"/>
            <w:vAlign w:val="center"/>
            <w:hideMark/>
          </w:tcPr>
          <w:p w14:paraId="64669BEB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Develops the </w:t>
            </w:r>
            <w:proofErr w:type="spellStart"/>
            <w:r w:rsidRPr="00625985">
              <w:rPr>
                <w:rFonts w:ascii="Times New Roman" w:hAnsi="Times New Roman" w:cs="Times New Roman"/>
                <w:lang w:val="en-US"/>
              </w:rPr>
              <w:t>SmartSort</w:t>
            </w:r>
            <w:proofErr w:type="spellEnd"/>
            <w:r w:rsidRPr="00625985">
              <w:rPr>
                <w:rFonts w:ascii="Times New Roman" w:hAnsi="Times New Roman" w:cs="Times New Roman"/>
                <w:lang w:val="en-US"/>
              </w:rPr>
              <w:t xml:space="preserve"> ranking algorithm and evaluates implementation through two regional experiments using difference-in-differences analysis.</w:t>
            </w:r>
          </w:p>
        </w:tc>
        <w:tc>
          <w:tcPr>
            <w:tcW w:w="0" w:type="auto"/>
            <w:vAlign w:val="center"/>
            <w:hideMark/>
          </w:tcPr>
          <w:p w14:paraId="4F787C88" w14:textId="77777777" w:rsidR="00625985" w:rsidRPr="00625985" w:rsidRDefault="00625985" w:rsidP="00625985">
            <w:pPr>
              <w:rPr>
                <w:rFonts w:ascii="Times New Roman" w:hAnsi="Times New Roman" w:cs="Times New Roman"/>
                <w:lang w:val="en-US"/>
              </w:rPr>
            </w:pP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Findings: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Reports an estimated 8% increase in opportunities receiving at least one connection, without a significant decrease in total connections. </w:t>
            </w:r>
            <w:r w:rsidRPr="00625985">
              <w:rPr>
                <w:rFonts w:ascii="Times New Roman" w:hAnsi="Times New Roman" w:cs="Times New Roman"/>
                <w:b/>
                <w:bCs/>
                <w:lang w:val="en-US"/>
              </w:rPr>
              <w:t>For AITU:</w:t>
            </w:r>
            <w:r w:rsidRPr="00625985">
              <w:rPr>
                <w:rFonts w:ascii="Times New Roman" w:hAnsi="Times New Roman" w:cs="Times New Roman"/>
                <w:lang w:val="en-US"/>
              </w:rPr>
              <w:t xml:space="preserve"> Connections are not completed assignments; ranking opportunities differs from ranking volunteers for roles.</w:t>
            </w:r>
          </w:p>
        </w:tc>
        <w:tc>
          <w:tcPr>
            <w:tcW w:w="0" w:type="auto"/>
            <w:vAlign w:val="center"/>
            <w:hideMark/>
          </w:tcPr>
          <w:p w14:paraId="5C4E5867" w14:textId="77777777" w:rsidR="00625985" w:rsidRPr="00625985" w:rsidRDefault="00625985" w:rsidP="00625985">
            <w:pPr>
              <w:rPr>
                <w:rFonts w:ascii="Times New Roman" w:hAnsi="Times New Roman" w:cs="Times New Roman"/>
              </w:rPr>
            </w:pPr>
            <w:r w:rsidRPr="00625985">
              <w:rPr>
                <w:rFonts w:ascii="Times New Roman" w:hAnsi="Times New Roman" w:cs="Times New Roman"/>
                <w:lang w:val="en-US"/>
              </w:rPr>
              <w:t xml:space="preserve">Informs recommendation ranking, opportunity visibility, and comparison with a simple baseline. Encourages evaluation of both total matches and their distribution across events. </w:t>
            </w:r>
            <w:r w:rsidRPr="00625985">
              <w:rPr>
                <w:rFonts w:ascii="Times New Roman" w:hAnsi="Times New Roman" w:cs="Times New Roman"/>
              </w:rPr>
              <w:t>(</w:t>
            </w:r>
            <w:hyperlink r:id="rId27" w:tooltip="Redesigning VolunteerMatch’s Search Algorithm: Toward More Equitable Access to Volunteers" w:history="1">
              <w:r w:rsidRPr="00625985">
                <w:rPr>
                  <w:rStyle w:val="ac"/>
                  <w:rFonts w:ascii="Times New Roman" w:hAnsi="Times New Roman" w:cs="Times New Roman"/>
                </w:rPr>
                <w:t>pubsonline.informs.org</w:t>
              </w:r>
            </w:hyperlink>
            <w:r w:rsidRPr="00625985">
              <w:rPr>
                <w:rFonts w:ascii="Times New Roman" w:hAnsi="Times New Roman" w:cs="Times New Roman"/>
              </w:rPr>
              <w:t>)</w:t>
            </w:r>
          </w:p>
        </w:tc>
      </w:tr>
    </w:tbl>
    <w:p w14:paraId="5B85F34F" w14:textId="77777777" w:rsidR="00625985" w:rsidRPr="00625985" w:rsidRDefault="00625985">
      <w:pPr>
        <w:rPr>
          <w:rFonts w:ascii="Times New Roman" w:hAnsi="Times New Roman" w:cs="Times New Roman"/>
        </w:rPr>
      </w:pPr>
    </w:p>
    <w:sectPr w:rsidR="00625985" w:rsidRPr="00625985" w:rsidSect="00625985">
      <w:pgSz w:w="16838" w:h="11906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85"/>
    <w:rsid w:val="00191BB1"/>
    <w:rsid w:val="0062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52B3"/>
  <w15:chartTrackingRefBased/>
  <w15:docId w15:val="{3B19C953-FE8B-45F4-AD68-B243744F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9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9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9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9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9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259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ss.um.si/index.php/ump/catalog/view/962/1428/4798?utm_source=chatgpt.com" TargetMode="External"/><Relationship Id="rId13" Type="http://schemas.openxmlformats.org/officeDocument/2006/relationships/hyperlink" Target="https://doi.org/10.1177/08997640231212839" TargetMode="External"/><Relationship Id="rId18" Type="http://schemas.openxmlformats.org/officeDocument/2006/relationships/hyperlink" Target="https://doi.org/10.3389/fspor.2022.689209" TargetMode="External"/><Relationship Id="rId26" Type="http://schemas.openxmlformats.org/officeDocument/2006/relationships/hyperlink" Target="https://doi.org/10.1287/mnsc.2023.0383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andfonline.com/doi/full/10.1080/19407963.2022.2087663?utm_source=chatgpt.com" TargetMode="External"/><Relationship Id="rId7" Type="http://schemas.openxmlformats.org/officeDocument/2006/relationships/hyperlink" Target="https://doi.org/10.18690/um.fov.2.2025.61" TargetMode="External"/><Relationship Id="rId12" Type="http://schemas.openxmlformats.org/officeDocument/2006/relationships/hyperlink" Target="https://optimization-online.org/2024/09/an-optimization-framework-to-provide-volunteers-with-task-selection-autonomy-and-group-opportunities/?utm_source=chatgpt.com" TargetMode="External"/><Relationship Id="rId17" Type="http://schemas.openxmlformats.org/officeDocument/2006/relationships/hyperlink" Target="https://doi.org/10.1111/1468-5973.12484?utm_source=chatgpt.com" TargetMode="External"/><Relationship Id="rId25" Type="http://schemas.openxmlformats.org/officeDocument/2006/relationships/hyperlink" Target="https://pubsonline.informs.org/doi/10.1287/mnsc.2021.4220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11/1468-5973.12484" TargetMode="External"/><Relationship Id="rId20" Type="http://schemas.openxmlformats.org/officeDocument/2006/relationships/hyperlink" Target="https://doi.org/10.1080/19407963.2022.208766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ira.or.id/journal/jistr/article/view/1320?utm_source=chatgpt.com" TargetMode="External"/><Relationship Id="rId11" Type="http://schemas.openxmlformats.org/officeDocument/2006/relationships/hyperlink" Target="https://doi.org/10.1016/j.seps.2024.102095" TargetMode="External"/><Relationship Id="rId24" Type="http://schemas.openxmlformats.org/officeDocument/2006/relationships/hyperlink" Target="https://doi.org/10.1287/mnsc.2021.4220" TargetMode="External"/><Relationship Id="rId5" Type="http://schemas.openxmlformats.org/officeDocument/2006/relationships/hyperlink" Target="https://doi.org/10.55537/jistr.v4i3.1320" TargetMode="External"/><Relationship Id="rId15" Type="http://schemas.openxmlformats.org/officeDocument/2006/relationships/hyperlink" Target="https://doi.org/10.37075/JOMSA.2023.1.12" TargetMode="External"/><Relationship Id="rId23" Type="http://schemas.openxmlformats.org/officeDocument/2006/relationships/hyperlink" Target="https://journals.sagepub.com/doi/pdf/10.1177/08997640221132499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1877050924006720?utm_source=chatgpt.com" TargetMode="External"/><Relationship Id="rId19" Type="http://schemas.openxmlformats.org/officeDocument/2006/relationships/hyperlink" Target="https://pmc.ncbi.nlm.nih.gov/articles/PMC896262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procs.2024.04.003" TargetMode="External"/><Relationship Id="rId14" Type="http://schemas.openxmlformats.org/officeDocument/2006/relationships/hyperlink" Target="https://journals.sagepub.com/doi/pdf/10.1177/08997640231212839?utm_source=chatgpt.com" TargetMode="External"/><Relationship Id="rId22" Type="http://schemas.openxmlformats.org/officeDocument/2006/relationships/hyperlink" Target="https://doi.org/10.1177/08997640221132499" TargetMode="External"/><Relationship Id="rId27" Type="http://schemas.openxmlformats.org/officeDocument/2006/relationships/hyperlink" Target="https://pubsonline.informs.org/doi/10.1287/mnsc.2023.03838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54EF9-5926-417B-84C0-3FFC070A9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1854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Nazym Kurmanbaeva</dc:creator>
  <cp:keywords/>
  <dc:description/>
  <cp:lastModifiedBy>Nazym Kurmanbaeva</cp:lastModifiedBy>
  <cp:revision>1</cp:revision>
  <dcterms:created xsi:type="dcterms:W3CDTF">2026-10-18T12:48:00Z</dcterms:created>
  <dcterms:modified xsi:type="dcterms:W3CDTF">2026-10-18T12:50:00Z</dcterms:modified>
</cp:coreProperties>
</file>