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1. This document, together with the document </w:t>
      </w: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Basel III: International framework for</w:t>
      </w:r>
    </w:p>
    <w:p w:rsidR="00000000" w:rsidDel="00000000" w:rsidP="00000000" w:rsidRDefault="00000000" w:rsidRPr="00000000" w14:paraId="00000004">
      <w:pPr>
        <w:rPr>
          <w:sz w:val="11"/>
          <w:szCs w:val="11"/>
        </w:rPr>
      </w:pP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liquidity risk measurement, standards and monitoring</w:t>
      </w:r>
      <w:r w:rsidDel="00000000" w:rsidR="00000000" w:rsidRPr="00000000">
        <w:rPr>
          <w:sz w:val="17"/>
          <w:szCs w:val="17"/>
          <w:rtl w:val="0"/>
        </w:rPr>
        <w:t xml:space="preserve">, presents the Basel Committee’s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0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reforms to strengthen global capital and liquidity rules with the goal of promoting a more</w:t>
      </w:r>
    </w:p>
    <w:p w:rsidR="00000000" w:rsidDel="00000000" w:rsidP="00000000" w:rsidRDefault="00000000" w:rsidRPr="00000000" w14:paraId="000000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resilient banking sector. The objective of the reforms is to improve the banking sector’s ability</w:t>
      </w:r>
    </w:p>
    <w:p w:rsidR="00000000" w:rsidDel="00000000" w:rsidP="00000000" w:rsidRDefault="00000000" w:rsidRPr="00000000" w14:paraId="000000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to absorb shocks arising from financial and economic stress, whatever the source, thus</w:t>
      </w:r>
    </w:p>
    <w:p w:rsidR="00000000" w:rsidDel="00000000" w:rsidP="00000000" w:rsidRDefault="00000000" w:rsidRPr="00000000" w14:paraId="000000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reducing the risk of spillover from the financial sector to the real economy. This document</w:t>
      </w:r>
    </w:p>
    <w:p w:rsidR="00000000" w:rsidDel="00000000" w:rsidP="00000000" w:rsidRDefault="00000000" w:rsidRPr="00000000" w14:paraId="000000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sets out the rules text and timelines to implement the Basel III framework.</w:t>
      </w:r>
    </w:p>
    <w:p w:rsidR="00000000" w:rsidDel="00000000" w:rsidP="00000000" w:rsidRDefault="00000000" w:rsidRPr="00000000" w14:paraId="000000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2. The Committee’s comprehensive reform package addresses the lessons of the</w:t>
      </w:r>
    </w:p>
    <w:p w:rsidR="00000000" w:rsidDel="00000000" w:rsidP="00000000" w:rsidRDefault="00000000" w:rsidRPr="00000000" w14:paraId="000000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financial crisis. Through its reform package, the Committee also aims to improve risk</w:t>
      </w:r>
    </w:p>
    <w:p w:rsidR="00000000" w:rsidDel="00000000" w:rsidP="00000000" w:rsidRDefault="00000000" w:rsidRPr="00000000" w14:paraId="0000000C">
      <w:pPr>
        <w:rPr>
          <w:sz w:val="11"/>
          <w:szCs w:val="11"/>
        </w:rPr>
      </w:pPr>
      <w:r w:rsidDel="00000000" w:rsidR="00000000" w:rsidRPr="00000000">
        <w:rPr>
          <w:sz w:val="17"/>
          <w:szCs w:val="17"/>
          <w:rtl w:val="0"/>
        </w:rPr>
        <w:t xml:space="preserve">management and governance as well as strengthen banks’ transparency and disclosures.</w:t>
      </w:r>
      <w:r w:rsidDel="00000000" w:rsidR="00000000" w:rsidRPr="00000000">
        <w:rPr>
          <w:sz w:val="11"/>
          <w:szCs w:val="11"/>
          <w:rtl w:val="0"/>
        </w:rPr>
        <w:t xml:space="preserve">2</w:t>
      </w:r>
    </w:p>
    <w:p w:rsidR="00000000" w:rsidDel="00000000" w:rsidP="00000000" w:rsidRDefault="00000000" w:rsidRPr="00000000" w14:paraId="000000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Moreover, the reform package includes the Committee’s efforts to strengthen the resolution</w:t>
      </w:r>
    </w:p>
    <w:p w:rsidR="00000000" w:rsidDel="00000000" w:rsidP="00000000" w:rsidRDefault="00000000" w:rsidRPr="00000000" w14:paraId="0000000E">
      <w:pPr>
        <w:rPr>
          <w:sz w:val="11"/>
          <w:szCs w:val="11"/>
        </w:rPr>
      </w:pPr>
      <w:r w:rsidDel="00000000" w:rsidR="00000000" w:rsidRPr="00000000">
        <w:rPr>
          <w:sz w:val="17"/>
          <w:szCs w:val="17"/>
          <w:rtl w:val="0"/>
        </w:rPr>
        <w:t xml:space="preserve">of systemically significant cross-border banks.</w:t>
      </w:r>
      <w:r w:rsidDel="00000000" w:rsidR="00000000" w:rsidRPr="00000000">
        <w:rPr>
          <w:sz w:val="11"/>
          <w:szCs w:val="11"/>
          <w:rtl w:val="0"/>
        </w:rPr>
        <w:t xml:space="preserve">3</w:t>
      </w:r>
    </w:p>
    <w:p w:rsidR="00000000" w:rsidDel="00000000" w:rsidP="00000000" w:rsidRDefault="00000000" w:rsidRPr="00000000" w14:paraId="000000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3. A strong and resilient banking system is the foundation for sustainable economic</w:t>
      </w:r>
    </w:p>
    <w:p w:rsidR="00000000" w:rsidDel="00000000" w:rsidP="00000000" w:rsidRDefault="00000000" w:rsidRPr="00000000" w14:paraId="000000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growth, as banks are at the centre of the credit intermediation process between savers and</w:t>
      </w:r>
    </w:p>
    <w:p w:rsidR="00000000" w:rsidDel="00000000" w:rsidP="00000000" w:rsidRDefault="00000000" w:rsidRPr="00000000" w14:paraId="000000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investors. Moreover, banks provide critical services to consumers, small and medium-sized</w:t>
      </w:r>
    </w:p>
    <w:p w:rsidR="00000000" w:rsidDel="00000000" w:rsidP="00000000" w:rsidRDefault="00000000" w:rsidRPr="00000000" w14:paraId="000000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enterprises, large corporate firms and governments who rely on them to conduct their daily</w:t>
      </w:r>
    </w:p>
    <w:p w:rsidR="00000000" w:rsidDel="00000000" w:rsidP="00000000" w:rsidRDefault="00000000" w:rsidRPr="00000000" w14:paraId="000000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business, both at a domestic and international level.</w:t>
      </w:r>
    </w:p>
    <w:p w:rsidR="00000000" w:rsidDel="00000000" w:rsidP="00000000" w:rsidRDefault="00000000" w:rsidRPr="00000000" w14:paraId="000000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4. One of the main reasons the economic and financial crisis, which began in 2007,</w:t>
      </w:r>
    </w:p>
    <w:p w:rsidR="00000000" w:rsidDel="00000000" w:rsidP="00000000" w:rsidRDefault="00000000" w:rsidRPr="00000000" w14:paraId="000000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became so severe was that the banking sectors of many countries had built up excessive on-</w:t>
      </w:r>
    </w:p>
    <w:p w:rsidR="00000000" w:rsidDel="00000000" w:rsidP="00000000" w:rsidRDefault="00000000" w:rsidRPr="00000000" w14:paraId="000000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 off-balance sheet leverage. This was accompanied by a gradual erosion of the level and</w:t>
      </w:r>
    </w:p>
    <w:p w:rsidR="00000000" w:rsidDel="00000000" w:rsidP="00000000" w:rsidRDefault="00000000" w:rsidRPr="00000000" w14:paraId="000000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quality of the capital base. At the same time, many banks were holding insufficient liquidity</w:t>
      </w:r>
    </w:p>
    <w:p w:rsidR="00000000" w:rsidDel="00000000" w:rsidP="00000000" w:rsidRDefault="00000000" w:rsidRPr="00000000" w14:paraId="000000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buffers. The banking system therefore was not able to absorb the resulting systemic trading</w:t>
      </w:r>
    </w:p>
    <w:p w:rsidR="00000000" w:rsidDel="00000000" w:rsidP="00000000" w:rsidRDefault="00000000" w:rsidRPr="00000000" w14:paraId="000000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 credit losses nor could it cope with the reintermediation of large off-balance sheet</w:t>
      </w:r>
    </w:p>
    <w:p w:rsidR="00000000" w:rsidDel="00000000" w:rsidP="00000000" w:rsidRDefault="00000000" w:rsidRPr="00000000" w14:paraId="000000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exposures that had built up in the shadow banking system. The crisis was further amplified</w:t>
      </w:r>
    </w:p>
    <w:p w:rsidR="00000000" w:rsidDel="00000000" w:rsidP="00000000" w:rsidRDefault="00000000" w:rsidRPr="00000000" w14:paraId="000000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by a procyclical deleveraging process and by the interconnectedness of systemic institutions</w:t>
      </w:r>
    </w:p>
    <w:p w:rsidR="00000000" w:rsidDel="00000000" w:rsidP="00000000" w:rsidRDefault="00000000" w:rsidRPr="00000000" w14:paraId="000000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through an array of complex transactions. During the most severe episode of the crisis, the</w:t>
      </w:r>
    </w:p>
    <w:p w:rsidR="00000000" w:rsidDel="00000000" w:rsidP="00000000" w:rsidRDefault="00000000" w:rsidRPr="00000000" w14:paraId="000000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market lost confidence in the solvency and liquidity of many banking institutions. The</w:t>
      </w:r>
    </w:p>
    <w:p w:rsidR="00000000" w:rsidDel="00000000" w:rsidP="00000000" w:rsidRDefault="00000000" w:rsidRPr="00000000" w14:paraId="000000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weaknesses in the banking sector were rapidly transmitted to the rest of the financial system</w:t>
      </w:r>
    </w:p>
    <w:p w:rsidR="00000000" w:rsidDel="00000000" w:rsidP="00000000" w:rsidRDefault="00000000" w:rsidRPr="00000000" w14:paraId="000000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 the real economy, resulting in a massive contraction of liquidity and credit availability.</w:t>
      </w:r>
    </w:p>
    <w:p w:rsidR="00000000" w:rsidDel="00000000" w:rsidP="00000000" w:rsidRDefault="00000000" w:rsidRPr="00000000" w14:paraId="000000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Ultimately the public sector had to step in with unprecedented injections of liquidity, capital</w:t>
      </w:r>
    </w:p>
    <w:p w:rsidR="00000000" w:rsidDel="00000000" w:rsidP="00000000" w:rsidRDefault="00000000" w:rsidRPr="00000000" w14:paraId="000000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support and guarantees, exposing taxpayers to large losses.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