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AC0B3">
      <w:pPr>
        <w:rPr>
          <w:rFonts w:hint="default"/>
          <w:lang w:val="en-US"/>
        </w:rPr>
      </w:pPr>
      <w:r>
        <w:rPr>
          <w:rFonts w:hint="default"/>
          <w:lang w:val="en-US"/>
        </w:rPr>
        <w:t>AI Agent là gì: hệ thống nhận thức được môi trường xung quanh thông qua các cảm biến và tác động lên trường thông qua các bộ truyền động. Một tác nhân hoạt động theo chu trình nhận thức suy nghĩ và hành động, có thể là con người, robot, phần mềm</w:t>
      </w:r>
    </w:p>
    <w:p w14:paraId="7EA7E71B">
      <w:pPr>
        <w:rPr>
          <w:rFonts w:hint="default"/>
          <w:lang w:val="en-US"/>
        </w:rPr>
      </w:pPr>
      <w:r>
        <w:rPr>
          <w:rFonts w:hint="default"/>
          <w:lang w:val="en-US"/>
        </w:rPr>
        <w:t>PEAS là một khuôn khổ được sử dụng để xác định cấu trúc cảu một tác nhân thông minh trong AI</w:t>
      </w:r>
    </w:p>
    <w:p w14:paraId="4AFBE70D">
      <w:pPr>
        <w:rPr>
          <w:rFonts w:hint="default"/>
          <w:lang w:val="en-US"/>
        </w:rPr>
      </w:pPr>
      <w:r>
        <w:rPr>
          <w:rFonts w:hint="default"/>
          <w:lang w:val="en-US"/>
        </w:rPr>
        <w:t>P : biện pháp đo lường hiệu xuất</w:t>
      </w:r>
    </w:p>
    <w:p w14:paraId="201BB274">
      <w:pPr>
        <w:rPr>
          <w:rFonts w:hint="default"/>
          <w:lang w:val="en-US"/>
        </w:rPr>
      </w:pPr>
      <w:r>
        <w:rPr>
          <w:rFonts w:hint="default"/>
          <w:lang w:val="en-US"/>
        </w:rPr>
        <w:t>E: môi trường</w:t>
      </w:r>
    </w:p>
    <w:p w14:paraId="441D9CF1">
      <w:pPr>
        <w:rPr>
          <w:rFonts w:hint="default"/>
          <w:lang w:val="en-US"/>
        </w:rPr>
      </w:pPr>
      <w:r>
        <w:rPr>
          <w:rFonts w:hint="default"/>
          <w:lang w:val="en-US"/>
        </w:rPr>
        <w:t>A: Bộ trường động</w:t>
      </w:r>
    </w:p>
    <w:p w14:paraId="29960B22">
      <w:pPr>
        <w:rPr>
          <w:rFonts w:hint="default"/>
          <w:lang w:val="en-US"/>
        </w:rPr>
      </w:pPr>
      <w:r>
        <w:rPr>
          <w:rFonts w:hint="default"/>
          <w:lang w:val="en-US"/>
        </w:rPr>
        <w:t>S: cảm biến</w:t>
      </w:r>
    </w:p>
    <w:p w14:paraId="03F1D894">
      <w:pPr>
        <w:jc w:val="center"/>
        <w:rPr>
          <w:rFonts w:hint="default"/>
          <w:lang w:val="en-US"/>
        </w:rPr>
      </w:pPr>
      <w:r>
        <w:rPr>
          <w:rFonts w:hint="default"/>
          <w:lang w:val="en-US"/>
        </w:rPr>
        <w:t>Các thuộc tính của môi trường nhiệm vụ:</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41"/>
        <w:gridCol w:w="1489"/>
        <w:gridCol w:w="965"/>
        <w:gridCol w:w="1182"/>
        <w:gridCol w:w="824"/>
        <w:gridCol w:w="1421"/>
      </w:tblGrid>
      <w:tr w14:paraId="1616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5AD8923B">
            <w:pPr>
              <w:rPr>
                <w:rFonts w:hint="default"/>
                <w:vertAlign w:val="baseline"/>
                <w:lang w:val="en-US"/>
              </w:rPr>
            </w:pPr>
            <w:r>
              <w:rPr>
                <w:rFonts w:hint="default"/>
                <w:vertAlign w:val="baseline"/>
                <w:lang w:val="en-US"/>
              </w:rPr>
              <w:t>Môi trường</w:t>
            </w:r>
          </w:p>
        </w:tc>
        <w:tc>
          <w:tcPr>
            <w:tcW w:w="1489" w:type="dxa"/>
          </w:tcPr>
          <w:p w14:paraId="4A26C990">
            <w:pPr>
              <w:rPr>
                <w:rFonts w:hint="default"/>
                <w:vertAlign w:val="baseline"/>
                <w:lang w:val="en-US"/>
              </w:rPr>
            </w:pPr>
            <w:r>
              <w:rPr>
                <w:rFonts w:hint="default"/>
                <w:vertAlign w:val="baseline"/>
                <w:lang w:val="en-US"/>
              </w:rPr>
              <w:t>Có thể quan sát</w:t>
            </w:r>
          </w:p>
        </w:tc>
        <w:tc>
          <w:tcPr>
            <w:tcW w:w="965" w:type="dxa"/>
          </w:tcPr>
          <w:p w14:paraId="296AC363">
            <w:pPr>
              <w:rPr>
                <w:rFonts w:hint="default"/>
                <w:vertAlign w:val="baseline"/>
                <w:lang w:val="en-US"/>
              </w:rPr>
            </w:pPr>
            <w:r>
              <w:rPr>
                <w:rFonts w:hint="default"/>
                <w:vertAlign w:val="baseline"/>
                <w:lang w:val="en-US"/>
              </w:rPr>
              <w:t>Xác định</w:t>
            </w:r>
          </w:p>
        </w:tc>
        <w:tc>
          <w:tcPr>
            <w:tcW w:w="1182" w:type="dxa"/>
          </w:tcPr>
          <w:p w14:paraId="673695E2">
            <w:pPr>
              <w:rPr>
                <w:rFonts w:hint="default"/>
                <w:vertAlign w:val="baseline"/>
                <w:lang w:val="en-US"/>
              </w:rPr>
            </w:pPr>
            <w:r>
              <w:rPr>
                <w:rFonts w:hint="default"/>
                <w:vertAlign w:val="baseline"/>
                <w:lang w:val="en-US"/>
              </w:rPr>
              <w:t>Từng tập</w:t>
            </w:r>
          </w:p>
        </w:tc>
        <w:tc>
          <w:tcPr>
            <w:tcW w:w="824" w:type="dxa"/>
          </w:tcPr>
          <w:p w14:paraId="73442FE3">
            <w:pPr>
              <w:rPr>
                <w:rFonts w:hint="default"/>
                <w:vertAlign w:val="baseline"/>
                <w:lang w:val="en-US"/>
              </w:rPr>
            </w:pPr>
            <w:r>
              <w:rPr>
                <w:rFonts w:hint="default"/>
                <w:vertAlign w:val="baseline"/>
                <w:lang w:val="en-US"/>
              </w:rPr>
              <w:t>Tĩnh</w:t>
            </w:r>
          </w:p>
        </w:tc>
        <w:tc>
          <w:tcPr>
            <w:tcW w:w="1421" w:type="dxa"/>
          </w:tcPr>
          <w:p w14:paraId="3EB3FF45">
            <w:pPr>
              <w:rPr>
                <w:rFonts w:hint="default"/>
                <w:vertAlign w:val="baseline"/>
                <w:lang w:val="en-US"/>
              </w:rPr>
            </w:pPr>
            <w:r>
              <w:rPr>
                <w:rFonts w:hint="default"/>
                <w:vertAlign w:val="baseline"/>
                <w:lang w:val="en-US"/>
              </w:rPr>
              <w:t>Rời rạc</w:t>
            </w:r>
          </w:p>
        </w:tc>
      </w:tr>
      <w:tr w14:paraId="2637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417A829C">
            <w:pPr>
              <w:rPr>
                <w:rFonts w:hint="default"/>
                <w:vertAlign w:val="baseline"/>
                <w:lang w:val="en-US"/>
              </w:rPr>
            </w:pPr>
            <w:r>
              <w:rPr>
                <w:rFonts w:hint="default"/>
                <w:vertAlign w:val="baseline"/>
                <w:lang w:val="en-US"/>
              </w:rPr>
              <w:t>Cờ vua có tính giờ</w:t>
            </w:r>
          </w:p>
        </w:tc>
        <w:tc>
          <w:tcPr>
            <w:tcW w:w="1489" w:type="dxa"/>
          </w:tcPr>
          <w:p w14:paraId="6269496E">
            <w:pPr>
              <w:rPr>
                <w:rFonts w:hint="default"/>
                <w:vertAlign w:val="baseline"/>
                <w:lang w:val="en-US"/>
              </w:rPr>
            </w:pPr>
            <w:r>
              <w:rPr>
                <w:rFonts w:hint="default"/>
                <w:vertAlign w:val="baseline"/>
                <w:lang w:val="en-US"/>
              </w:rPr>
              <w:t>x</w:t>
            </w:r>
          </w:p>
        </w:tc>
        <w:tc>
          <w:tcPr>
            <w:tcW w:w="965" w:type="dxa"/>
          </w:tcPr>
          <w:p w14:paraId="70823EFE">
            <w:pPr>
              <w:rPr>
                <w:rFonts w:hint="default"/>
                <w:vertAlign w:val="baseline"/>
                <w:lang w:val="en-US"/>
              </w:rPr>
            </w:pPr>
            <w:r>
              <w:rPr>
                <w:rFonts w:hint="default"/>
                <w:vertAlign w:val="baseline"/>
                <w:lang w:val="en-US"/>
              </w:rPr>
              <w:t>x</w:t>
            </w:r>
          </w:p>
        </w:tc>
        <w:tc>
          <w:tcPr>
            <w:tcW w:w="1182" w:type="dxa"/>
          </w:tcPr>
          <w:p w14:paraId="64F1B7FA">
            <w:pPr>
              <w:rPr>
                <w:rFonts w:hint="default"/>
                <w:vertAlign w:val="baseline"/>
                <w:lang w:val="en-US"/>
              </w:rPr>
            </w:pPr>
          </w:p>
        </w:tc>
        <w:tc>
          <w:tcPr>
            <w:tcW w:w="824" w:type="dxa"/>
          </w:tcPr>
          <w:p w14:paraId="49919643">
            <w:pPr>
              <w:rPr>
                <w:rFonts w:hint="default"/>
                <w:vertAlign w:val="baseline"/>
                <w:lang w:val="en-US"/>
              </w:rPr>
            </w:pPr>
          </w:p>
        </w:tc>
        <w:tc>
          <w:tcPr>
            <w:tcW w:w="1421" w:type="dxa"/>
          </w:tcPr>
          <w:p w14:paraId="2F68B396">
            <w:pPr>
              <w:rPr>
                <w:rFonts w:hint="default"/>
                <w:vertAlign w:val="baseline"/>
                <w:lang w:val="en-US"/>
              </w:rPr>
            </w:pPr>
            <w:r>
              <w:rPr>
                <w:rFonts w:hint="default"/>
                <w:vertAlign w:val="baseline"/>
                <w:lang w:val="en-US"/>
              </w:rPr>
              <w:t>x</w:t>
            </w:r>
          </w:p>
        </w:tc>
      </w:tr>
      <w:tr w14:paraId="4264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3252CD9E">
            <w:pPr>
              <w:rPr>
                <w:rFonts w:hint="default"/>
                <w:vertAlign w:val="baseline"/>
                <w:lang w:val="en-US"/>
              </w:rPr>
            </w:pPr>
            <w:r>
              <w:rPr>
                <w:rFonts w:hint="default"/>
                <w:vertAlign w:val="baseline"/>
                <w:lang w:val="en-US"/>
              </w:rPr>
              <w:t>Cờ vua ko tính giờ</w:t>
            </w:r>
          </w:p>
        </w:tc>
        <w:tc>
          <w:tcPr>
            <w:tcW w:w="1489" w:type="dxa"/>
          </w:tcPr>
          <w:p w14:paraId="644AA465">
            <w:pPr>
              <w:rPr>
                <w:rFonts w:hint="default"/>
                <w:vertAlign w:val="baseline"/>
                <w:lang w:val="en-US"/>
              </w:rPr>
            </w:pPr>
            <w:r>
              <w:rPr>
                <w:rFonts w:hint="default"/>
                <w:vertAlign w:val="baseline"/>
                <w:lang w:val="en-US"/>
              </w:rPr>
              <w:t>x</w:t>
            </w:r>
          </w:p>
        </w:tc>
        <w:tc>
          <w:tcPr>
            <w:tcW w:w="965" w:type="dxa"/>
          </w:tcPr>
          <w:p w14:paraId="63989804">
            <w:pPr>
              <w:rPr>
                <w:rFonts w:hint="default"/>
                <w:vertAlign w:val="baseline"/>
                <w:lang w:val="en-US"/>
              </w:rPr>
            </w:pPr>
            <w:r>
              <w:rPr>
                <w:rFonts w:hint="default"/>
                <w:vertAlign w:val="baseline"/>
                <w:lang w:val="en-US"/>
              </w:rPr>
              <w:t>x</w:t>
            </w:r>
          </w:p>
        </w:tc>
        <w:tc>
          <w:tcPr>
            <w:tcW w:w="1182" w:type="dxa"/>
          </w:tcPr>
          <w:p w14:paraId="2D8D8C91">
            <w:pPr>
              <w:rPr>
                <w:rFonts w:hint="default"/>
                <w:vertAlign w:val="baseline"/>
                <w:lang w:val="en-US"/>
              </w:rPr>
            </w:pPr>
          </w:p>
        </w:tc>
        <w:tc>
          <w:tcPr>
            <w:tcW w:w="824" w:type="dxa"/>
          </w:tcPr>
          <w:p w14:paraId="66EA3E56">
            <w:pPr>
              <w:rPr>
                <w:rFonts w:hint="default"/>
                <w:vertAlign w:val="baseline"/>
                <w:lang w:val="en-US"/>
              </w:rPr>
            </w:pPr>
            <w:r>
              <w:rPr>
                <w:rFonts w:hint="default"/>
                <w:vertAlign w:val="baseline"/>
                <w:lang w:val="en-US"/>
              </w:rPr>
              <w:t>x</w:t>
            </w:r>
          </w:p>
        </w:tc>
        <w:tc>
          <w:tcPr>
            <w:tcW w:w="1421" w:type="dxa"/>
          </w:tcPr>
          <w:p w14:paraId="06296F81">
            <w:pPr>
              <w:rPr>
                <w:rFonts w:hint="default"/>
                <w:vertAlign w:val="baseline"/>
                <w:lang w:val="en-US"/>
              </w:rPr>
            </w:pPr>
            <w:r>
              <w:rPr>
                <w:rFonts w:hint="default"/>
                <w:vertAlign w:val="baseline"/>
                <w:lang w:val="en-US"/>
              </w:rPr>
              <w:t>x</w:t>
            </w:r>
          </w:p>
        </w:tc>
      </w:tr>
      <w:tr w14:paraId="0941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008A9E3B">
            <w:pPr>
              <w:rPr>
                <w:rFonts w:hint="default"/>
                <w:vertAlign w:val="baseline"/>
                <w:lang w:val="en-US"/>
              </w:rPr>
            </w:pPr>
            <w:r>
              <w:rPr>
                <w:rFonts w:hint="default"/>
                <w:vertAlign w:val="baseline"/>
                <w:lang w:val="en-US"/>
              </w:rPr>
              <w:t>Poker</w:t>
            </w:r>
          </w:p>
        </w:tc>
        <w:tc>
          <w:tcPr>
            <w:tcW w:w="1489" w:type="dxa"/>
          </w:tcPr>
          <w:p w14:paraId="5CCE55DD">
            <w:pPr>
              <w:rPr>
                <w:rFonts w:hint="default"/>
                <w:vertAlign w:val="baseline"/>
                <w:lang w:val="en-US"/>
              </w:rPr>
            </w:pPr>
          </w:p>
        </w:tc>
        <w:tc>
          <w:tcPr>
            <w:tcW w:w="965" w:type="dxa"/>
          </w:tcPr>
          <w:p w14:paraId="5AFFF4BB">
            <w:pPr>
              <w:rPr>
                <w:rFonts w:hint="default"/>
                <w:vertAlign w:val="baseline"/>
                <w:lang w:val="en-US"/>
              </w:rPr>
            </w:pPr>
          </w:p>
        </w:tc>
        <w:tc>
          <w:tcPr>
            <w:tcW w:w="1182" w:type="dxa"/>
          </w:tcPr>
          <w:p w14:paraId="3E7403A6">
            <w:pPr>
              <w:rPr>
                <w:rFonts w:hint="default"/>
                <w:vertAlign w:val="baseline"/>
                <w:lang w:val="en-US"/>
              </w:rPr>
            </w:pPr>
          </w:p>
        </w:tc>
        <w:tc>
          <w:tcPr>
            <w:tcW w:w="824" w:type="dxa"/>
          </w:tcPr>
          <w:p w14:paraId="7AF0517E">
            <w:pPr>
              <w:rPr>
                <w:rFonts w:hint="default"/>
                <w:vertAlign w:val="baseline"/>
                <w:lang w:val="en-US"/>
              </w:rPr>
            </w:pPr>
            <w:r>
              <w:rPr>
                <w:rFonts w:hint="default"/>
                <w:vertAlign w:val="baseline"/>
                <w:lang w:val="en-US"/>
              </w:rPr>
              <w:t>x</w:t>
            </w:r>
          </w:p>
        </w:tc>
        <w:tc>
          <w:tcPr>
            <w:tcW w:w="1421" w:type="dxa"/>
          </w:tcPr>
          <w:p w14:paraId="58DAB90E">
            <w:pPr>
              <w:rPr>
                <w:rFonts w:hint="default"/>
                <w:vertAlign w:val="baseline"/>
                <w:lang w:val="en-US"/>
              </w:rPr>
            </w:pPr>
            <w:r>
              <w:rPr>
                <w:rFonts w:hint="default"/>
                <w:vertAlign w:val="baseline"/>
                <w:lang w:val="en-US"/>
              </w:rPr>
              <w:t>x</w:t>
            </w:r>
          </w:p>
        </w:tc>
      </w:tr>
      <w:tr w14:paraId="199F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1" w:type="dxa"/>
          </w:tcPr>
          <w:p w14:paraId="4A604555">
            <w:pPr>
              <w:rPr>
                <w:rFonts w:hint="default"/>
                <w:vertAlign w:val="baseline"/>
                <w:lang w:val="en-US"/>
              </w:rPr>
            </w:pPr>
            <w:r>
              <w:rPr>
                <w:rFonts w:hint="default"/>
                <w:vertAlign w:val="baseline"/>
                <w:lang w:val="en-US"/>
              </w:rPr>
              <w:t>Cờ cá ngựa</w:t>
            </w:r>
          </w:p>
        </w:tc>
        <w:tc>
          <w:tcPr>
            <w:tcW w:w="1489" w:type="dxa"/>
          </w:tcPr>
          <w:p w14:paraId="34DF9C33">
            <w:pPr>
              <w:rPr>
                <w:rFonts w:hint="default"/>
                <w:vertAlign w:val="baseline"/>
                <w:lang w:val="en-US"/>
              </w:rPr>
            </w:pPr>
            <w:r>
              <w:rPr>
                <w:rFonts w:hint="default"/>
                <w:vertAlign w:val="baseline"/>
                <w:lang w:val="en-US"/>
              </w:rPr>
              <w:t>x</w:t>
            </w:r>
          </w:p>
        </w:tc>
        <w:tc>
          <w:tcPr>
            <w:tcW w:w="965" w:type="dxa"/>
          </w:tcPr>
          <w:p w14:paraId="0715FD35">
            <w:pPr>
              <w:rPr>
                <w:rFonts w:hint="default"/>
                <w:vertAlign w:val="baseline"/>
                <w:lang w:val="en-US"/>
              </w:rPr>
            </w:pPr>
          </w:p>
        </w:tc>
        <w:tc>
          <w:tcPr>
            <w:tcW w:w="1182" w:type="dxa"/>
          </w:tcPr>
          <w:p w14:paraId="7EF1AB9C">
            <w:pPr>
              <w:rPr>
                <w:rFonts w:hint="default"/>
                <w:vertAlign w:val="baseline"/>
                <w:lang w:val="en-US"/>
              </w:rPr>
            </w:pPr>
            <w:r>
              <w:rPr>
                <w:rFonts w:hint="default"/>
                <w:vertAlign w:val="baseline"/>
                <w:lang w:val="en-US"/>
              </w:rPr>
              <w:t>x</w:t>
            </w:r>
          </w:p>
        </w:tc>
        <w:tc>
          <w:tcPr>
            <w:tcW w:w="824" w:type="dxa"/>
          </w:tcPr>
          <w:p w14:paraId="5A28CAEF">
            <w:pPr>
              <w:rPr>
                <w:rFonts w:hint="default"/>
                <w:vertAlign w:val="baseline"/>
                <w:lang w:val="en-US"/>
              </w:rPr>
            </w:pPr>
            <w:r>
              <w:rPr>
                <w:rFonts w:hint="default"/>
                <w:vertAlign w:val="baseline"/>
                <w:lang w:val="en-US"/>
              </w:rPr>
              <w:t>x</w:t>
            </w:r>
          </w:p>
        </w:tc>
        <w:tc>
          <w:tcPr>
            <w:tcW w:w="1421" w:type="dxa"/>
          </w:tcPr>
          <w:p w14:paraId="5F35CCEB">
            <w:pPr>
              <w:rPr>
                <w:rFonts w:hint="default"/>
                <w:vertAlign w:val="baseline"/>
                <w:lang w:val="en-US"/>
              </w:rPr>
            </w:pPr>
            <w:r>
              <w:rPr>
                <w:rFonts w:hint="default"/>
                <w:vertAlign w:val="baseline"/>
                <w:lang w:val="en-US"/>
              </w:rPr>
              <w:t>x</w:t>
            </w:r>
          </w:p>
        </w:tc>
      </w:tr>
      <w:tr w14:paraId="0A17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728BC299">
            <w:pPr>
              <w:rPr>
                <w:rFonts w:hint="default"/>
                <w:vertAlign w:val="baseline"/>
                <w:lang w:val="en-US"/>
              </w:rPr>
            </w:pPr>
            <w:r>
              <w:rPr>
                <w:rFonts w:hint="default"/>
                <w:vertAlign w:val="baseline"/>
                <w:lang w:val="en-US"/>
              </w:rPr>
              <w:t>Taxi driving</w:t>
            </w:r>
          </w:p>
        </w:tc>
        <w:tc>
          <w:tcPr>
            <w:tcW w:w="1489" w:type="dxa"/>
          </w:tcPr>
          <w:p w14:paraId="5E4FD3E1">
            <w:pPr>
              <w:rPr>
                <w:rFonts w:hint="default"/>
                <w:vertAlign w:val="baseline"/>
                <w:lang w:val="en-US"/>
              </w:rPr>
            </w:pPr>
          </w:p>
        </w:tc>
        <w:tc>
          <w:tcPr>
            <w:tcW w:w="965" w:type="dxa"/>
          </w:tcPr>
          <w:p w14:paraId="74CD8E82">
            <w:pPr>
              <w:rPr>
                <w:rFonts w:hint="default"/>
                <w:vertAlign w:val="baseline"/>
                <w:lang w:val="en-US"/>
              </w:rPr>
            </w:pPr>
            <w:r>
              <w:rPr>
                <w:rFonts w:hint="default"/>
                <w:vertAlign w:val="baseline"/>
                <w:lang w:val="en-US"/>
              </w:rPr>
              <w:t>x</w:t>
            </w:r>
          </w:p>
        </w:tc>
        <w:tc>
          <w:tcPr>
            <w:tcW w:w="1182" w:type="dxa"/>
          </w:tcPr>
          <w:p w14:paraId="0CD302D4">
            <w:pPr>
              <w:rPr>
                <w:rFonts w:hint="default"/>
                <w:vertAlign w:val="baseline"/>
                <w:lang w:val="en-US"/>
              </w:rPr>
            </w:pPr>
          </w:p>
        </w:tc>
        <w:tc>
          <w:tcPr>
            <w:tcW w:w="824" w:type="dxa"/>
          </w:tcPr>
          <w:p w14:paraId="0A7B7E6D">
            <w:pPr>
              <w:rPr>
                <w:rFonts w:hint="default"/>
                <w:vertAlign w:val="baseline"/>
                <w:lang w:val="en-US"/>
              </w:rPr>
            </w:pPr>
          </w:p>
        </w:tc>
        <w:tc>
          <w:tcPr>
            <w:tcW w:w="1421" w:type="dxa"/>
          </w:tcPr>
          <w:p w14:paraId="5245DA5E">
            <w:pPr>
              <w:rPr>
                <w:rFonts w:hint="default"/>
                <w:vertAlign w:val="baseline"/>
                <w:lang w:val="en-US"/>
              </w:rPr>
            </w:pPr>
          </w:p>
        </w:tc>
      </w:tr>
      <w:tr w14:paraId="29B1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1CD02E6D">
            <w:pPr>
              <w:rPr>
                <w:rFonts w:hint="default"/>
                <w:vertAlign w:val="baseline"/>
                <w:lang w:val="en-US"/>
              </w:rPr>
            </w:pPr>
            <w:r>
              <w:rPr>
                <w:rFonts w:hint="default"/>
                <w:vertAlign w:val="baseline"/>
                <w:lang w:val="en-US"/>
              </w:rPr>
              <w:t>Hệ thống chuẩn đoán y tế</w:t>
            </w:r>
          </w:p>
        </w:tc>
        <w:tc>
          <w:tcPr>
            <w:tcW w:w="1489" w:type="dxa"/>
          </w:tcPr>
          <w:p w14:paraId="03D26528">
            <w:pPr>
              <w:rPr>
                <w:rFonts w:hint="default"/>
                <w:vertAlign w:val="baseline"/>
                <w:lang w:val="en-US"/>
              </w:rPr>
            </w:pPr>
          </w:p>
        </w:tc>
        <w:tc>
          <w:tcPr>
            <w:tcW w:w="965" w:type="dxa"/>
          </w:tcPr>
          <w:p w14:paraId="7398EB38">
            <w:pPr>
              <w:rPr>
                <w:rFonts w:hint="default"/>
                <w:vertAlign w:val="baseline"/>
                <w:lang w:val="en-US"/>
              </w:rPr>
            </w:pPr>
            <w:r>
              <w:rPr>
                <w:rFonts w:hint="default"/>
                <w:vertAlign w:val="baseline"/>
                <w:lang w:val="en-US"/>
              </w:rPr>
              <w:t>x</w:t>
            </w:r>
          </w:p>
        </w:tc>
        <w:tc>
          <w:tcPr>
            <w:tcW w:w="1182" w:type="dxa"/>
          </w:tcPr>
          <w:p w14:paraId="4020A883">
            <w:pPr>
              <w:rPr>
                <w:rFonts w:hint="default"/>
                <w:vertAlign w:val="baseline"/>
                <w:lang w:val="en-US"/>
              </w:rPr>
            </w:pPr>
          </w:p>
        </w:tc>
        <w:tc>
          <w:tcPr>
            <w:tcW w:w="824" w:type="dxa"/>
          </w:tcPr>
          <w:p w14:paraId="2FC374BF">
            <w:pPr>
              <w:rPr>
                <w:rFonts w:hint="default"/>
                <w:vertAlign w:val="baseline"/>
                <w:lang w:val="en-US"/>
              </w:rPr>
            </w:pPr>
          </w:p>
        </w:tc>
        <w:tc>
          <w:tcPr>
            <w:tcW w:w="1421" w:type="dxa"/>
          </w:tcPr>
          <w:p w14:paraId="72309293">
            <w:pPr>
              <w:rPr>
                <w:rFonts w:hint="default"/>
                <w:vertAlign w:val="baseline"/>
                <w:lang w:val="en-US"/>
              </w:rPr>
            </w:pPr>
          </w:p>
        </w:tc>
      </w:tr>
      <w:tr w14:paraId="3FF7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116EE541">
            <w:pPr>
              <w:rPr>
                <w:rFonts w:hint="default"/>
                <w:vertAlign w:val="baseline"/>
                <w:lang w:val="en-US"/>
              </w:rPr>
            </w:pPr>
            <w:r>
              <w:rPr>
                <w:rFonts w:hint="default"/>
                <w:vertAlign w:val="baseline"/>
                <w:lang w:val="en-US"/>
              </w:rPr>
              <w:t xml:space="preserve">  </w:t>
            </w:r>
            <w:bookmarkStart w:id="0" w:name="_GoBack"/>
            <w:bookmarkEnd w:id="0"/>
          </w:p>
        </w:tc>
        <w:tc>
          <w:tcPr>
            <w:tcW w:w="1489" w:type="dxa"/>
          </w:tcPr>
          <w:p w14:paraId="150D288D">
            <w:pPr>
              <w:rPr>
                <w:rFonts w:hint="default"/>
                <w:vertAlign w:val="baseline"/>
                <w:lang w:val="en-US"/>
              </w:rPr>
            </w:pPr>
          </w:p>
        </w:tc>
        <w:tc>
          <w:tcPr>
            <w:tcW w:w="965" w:type="dxa"/>
          </w:tcPr>
          <w:p w14:paraId="16A767FC">
            <w:pPr>
              <w:rPr>
                <w:rFonts w:hint="default"/>
                <w:vertAlign w:val="baseline"/>
                <w:lang w:val="en-US"/>
              </w:rPr>
            </w:pPr>
          </w:p>
        </w:tc>
        <w:tc>
          <w:tcPr>
            <w:tcW w:w="1182" w:type="dxa"/>
          </w:tcPr>
          <w:p w14:paraId="313088DA">
            <w:pPr>
              <w:rPr>
                <w:rFonts w:hint="default"/>
                <w:vertAlign w:val="baseline"/>
                <w:lang w:val="en-US"/>
              </w:rPr>
            </w:pPr>
          </w:p>
        </w:tc>
        <w:tc>
          <w:tcPr>
            <w:tcW w:w="824" w:type="dxa"/>
          </w:tcPr>
          <w:p w14:paraId="3E99BC9C">
            <w:pPr>
              <w:rPr>
                <w:rFonts w:hint="default"/>
                <w:vertAlign w:val="baseline"/>
                <w:lang w:val="en-US"/>
              </w:rPr>
            </w:pPr>
          </w:p>
        </w:tc>
        <w:tc>
          <w:tcPr>
            <w:tcW w:w="1421" w:type="dxa"/>
          </w:tcPr>
          <w:p w14:paraId="26F4DC8D">
            <w:pPr>
              <w:rPr>
                <w:rFonts w:hint="default"/>
                <w:vertAlign w:val="baseline"/>
                <w:lang w:val="en-US"/>
              </w:rPr>
            </w:pPr>
          </w:p>
        </w:tc>
      </w:tr>
      <w:tr w14:paraId="4CD0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046415A3">
            <w:pPr>
              <w:rPr>
                <w:rFonts w:hint="default"/>
                <w:vertAlign w:val="baseline"/>
                <w:lang w:val="en-US"/>
              </w:rPr>
            </w:pPr>
            <w:r>
              <w:rPr>
                <w:rFonts w:hint="default"/>
                <w:vertAlign w:val="baseline"/>
                <w:lang w:val="en-US"/>
              </w:rPr>
              <w:t>Robot nhặt linh kiện</w:t>
            </w:r>
          </w:p>
        </w:tc>
        <w:tc>
          <w:tcPr>
            <w:tcW w:w="1489" w:type="dxa"/>
          </w:tcPr>
          <w:p w14:paraId="2EB7A50E">
            <w:pPr>
              <w:rPr>
                <w:rFonts w:hint="default"/>
                <w:vertAlign w:val="baseline"/>
                <w:lang w:val="en-US"/>
              </w:rPr>
            </w:pPr>
          </w:p>
        </w:tc>
        <w:tc>
          <w:tcPr>
            <w:tcW w:w="965" w:type="dxa"/>
          </w:tcPr>
          <w:p w14:paraId="16F21C4D">
            <w:pPr>
              <w:rPr>
                <w:rFonts w:hint="default"/>
                <w:vertAlign w:val="baseline"/>
                <w:lang w:val="en-US"/>
              </w:rPr>
            </w:pPr>
          </w:p>
        </w:tc>
        <w:tc>
          <w:tcPr>
            <w:tcW w:w="1182" w:type="dxa"/>
          </w:tcPr>
          <w:p w14:paraId="77419AF0">
            <w:pPr>
              <w:rPr>
                <w:rFonts w:hint="default"/>
                <w:vertAlign w:val="baseline"/>
                <w:lang w:val="en-US"/>
              </w:rPr>
            </w:pPr>
          </w:p>
        </w:tc>
        <w:tc>
          <w:tcPr>
            <w:tcW w:w="824" w:type="dxa"/>
          </w:tcPr>
          <w:p w14:paraId="7107ADA9">
            <w:pPr>
              <w:rPr>
                <w:rFonts w:hint="default"/>
                <w:vertAlign w:val="baseline"/>
                <w:lang w:val="en-US"/>
              </w:rPr>
            </w:pPr>
          </w:p>
        </w:tc>
        <w:tc>
          <w:tcPr>
            <w:tcW w:w="1421" w:type="dxa"/>
          </w:tcPr>
          <w:p w14:paraId="492513E8">
            <w:pPr>
              <w:rPr>
                <w:rFonts w:hint="default"/>
                <w:vertAlign w:val="baseline"/>
                <w:lang w:val="en-US"/>
              </w:rPr>
            </w:pPr>
          </w:p>
        </w:tc>
      </w:tr>
      <w:tr w14:paraId="32C9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5AB784CD">
            <w:pPr>
              <w:rPr>
                <w:rFonts w:hint="default"/>
                <w:vertAlign w:val="baseline"/>
                <w:lang w:val="en-US"/>
              </w:rPr>
            </w:pPr>
            <w:r>
              <w:rPr>
                <w:rFonts w:hint="default"/>
                <w:vertAlign w:val="baseline"/>
                <w:lang w:val="en-US"/>
              </w:rPr>
              <w:t>Bộ điều khiển nhà máy lọc dầu</w:t>
            </w:r>
          </w:p>
        </w:tc>
        <w:tc>
          <w:tcPr>
            <w:tcW w:w="1489" w:type="dxa"/>
          </w:tcPr>
          <w:p w14:paraId="06C76C5E">
            <w:pPr>
              <w:rPr>
                <w:rFonts w:hint="default"/>
                <w:vertAlign w:val="baseline"/>
                <w:lang w:val="en-US"/>
              </w:rPr>
            </w:pPr>
          </w:p>
        </w:tc>
        <w:tc>
          <w:tcPr>
            <w:tcW w:w="965" w:type="dxa"/>
          </w:tcPr>
          <w:p w14:paraId="2551E005">
            <w:pPr>
              <w:rPr>
                <w:rFonts w:hint="default"/>
                <w:vertAlign w:val="baseline"/>
                <w:lang w:val="en-US"/>
              </w:rPr>
            </w:pPr>
          </w:p>
        </w:tc>
        <w:tc>
          <w:tcPr>
            <w:tcW w:w="1182" w:type="dxa"/>
          </w:tcPr>
          <w:p w14:paraId="62CB36CD">
            <w:pPr>
              <w:rPr>
                <w:rFonts w:hint="default"/>
                <w:vertAlign w:val="baseline"/>
                <w:lang w:val="en-US"/>
              </w:rPr>
            </w:pPr>
          </w:p>
        </w:tc>
        <w:tc>
          <w:tcPr>
            <w:tcW w:w="824" w:type="dxa"/>
          </w:tcPr>
          <w:p w14:paraId="69884919">
            <w:pPr>
              <w:rPr>
                <w:rFonts w:hint="default"/>
                <w:vertAlign w:val="baseline"/>
                <w:lang w:val="en-US"/>
              </w:rPr>
            </w:pPr>
          </w:p>
        </w:tc>
        <w:tc>
          <w:tcPr>
            <w:tcW w:w="1421" w:type="dxa"/>
          </w:tcPr>
          <w:p w14:paraId="6D88B866">
            <w:pPr>
              <w:rPr>
                <w:rFonts w:hint="default"/>
                <w:vertAlign w:val="baseline"/>
                <w:lang w:val="en-US"/>
              </w:rPr>
            </w:pPr>
          </w:p>
        </w:tc>
      </w:tr>
      <w:tr w14:paraId="52B1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41" w:type="dxa"/>
          </w:tcPr>
          <w:p w14:paraId="431FA749">
            <w:pPr>
              <w:rPr>
                <w:rFonts w:hint="default"/>
                <w:vertAlign w:val="baseline"/>
                <w:lang w:val="en-US"/>
              </w:rPr>
            </w:pPr>
            <w:r>
              <w:rPr>
                <w:rFonts w:hint="default"/>
                <w:vertAlign w:val="baseline"/>
                <w:lang w:val="en-US"/>
              </w:rPr>
              <w:t>Gia sư tiếng anh tương tác</w:t>
            </w:r>
          </w:p>
        </w:tc>
        <w:tc>
          <w:tcPr>
            <w:tcW w:w="1489" w:type="dxa"/>
          </w:tcPr>
          <w:p w14:paraId="661C2249">
            <w:pPr>
              <w:rPr>
                <w:rFonts w:hint="default"/>
                <w:vertAlign w:val="baseline"/>
                <w:lang w:val="en-US"/>
              </w:rPr>
            </w:pPr>
          </w:p>
        </w:tc>
        <w:tc>
          <w:tcPr>
            <w:tcW w:w="965" w:type="dxa"/>
          </w:tcPr>
          <w:p w14:paraId="313F5518">
            <w:pPr>
              <w:rPr>
                <w:rFonts w:hint="default"/>
                <w:vertAlign w:val="baseline"/>
                <w:lang w:val="en-US"/>
              </w:rPr>
            </w:pPr>
          </w:p>
        </w:tc>
        <w:tc>
          <w:tcPr>
            <w:tcW w:w="1182" w:type="dxa"/>
          </w:tcPr>
          <w:p w14:paraId="54C1FBB1">
            <w:pPr>
              <w:rPr>
                <w:rFonts w:hint="default"/>
                <w:vertAlign w:val="baseline"/>
                <w:lang w:val="en-US"/>
              </w:rPr>
            </w:pPr>
          </w:p>
        </w:tc>
        <w:tc>
          <w:tcPr>
            <w:tcW w:w="824" w:type="dxa"/>
          </w:tcPr>
          <w:p w14:paraId="4DB9CFA9">
            <w:pPr>
              <w:rPr>
                <w:rFonts w:hint="default"/>
                <w:vertAlign w:val="baseline"/>
                <w:lang w:val="en-US"/>
              </w:rPr>
            </w:pPr>
          </w:p>
        </w:tc>
        <w:tc>
          <w:tcPr>
            <w:tcW w:w="1421" w:type="dxa"/>
          </w:tcPr>
          <w:p w14:paraId="6B453A71">
            <w:pPr>
              <w:rPr>
                <w:rFonts w:hint="default"/>
                <w:vertAlign w:val="baseline"/>
                <w:lang w:val="en-US"/>
              </w:rPr>
            </w:pPr>
          </w:p>
        </w:tc>
      </w:tr>
    </w:tbl>
    <w:p w14:paraId="74879361">
      <w:pPr>
        <w:rPr>
          <w:rFonts w:hint="default"/>
          <w:lang w:val="en-US"/>
        </w:rPr>
      </w:pPr>
    </w:p>
    <w:p w14:paraId="14478691">
      <w:pPr>
        <w:rPr>
          <w:rFonts w:hint="default"/>
          <w:lang w:val="en-US"/>
        </w:rPr>
      </w:pPr>
      <w:r>
        <w:rPr>
          <w:rFonts w:hint="default"/>
          <w:lang w:val="en-US"/>
        </w:rPr>
        <w:t>Chọn 3 phần và mô tả PEAS</w:t>
      </w:r>
    </w:p>
    <w:p w14:paraId="30154AA5">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DA69D7"/>
    <w:rsid w:val="6DDA6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2026-05-05T00:57:00Z</dcterms:created>
  <dc:creator>PC</dc:creator>
  <cp:lastModifiedBy>PC</cp:lastModifiedBy>
  <dcterms:modified xsi:type="dcterms:W3CDTF">2026-05-05T03:08:33Z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E4354E03E8274CC9BBCC62238243DE86_11</vt:lpwstr>
  </property>
  <property fmtid="{D5CDD505-2E9C-101B-9397-08002B2CF9AE}" pid="4" name="KSOTemplateDocerSaveRecord">
    <vt:lpwstr>eyJoZGlkIjoiZjE0MTQ2N2U1MGVhOTQ0MTA3M2IyOTU5MjE3NTliODYiLCJ1c2VySWQiOiIxMzkyMTE2MzA4ODIyIn0=</vt:lpwstr>
  </property>
</Properties>
</file>