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0B91" w14:textId="77777777" w:rsidR="00C32EF7" w:rsidRDefault="00C32EF7" w:rsidP="00C32EF7">
      <w:pPr>
        <w:spacing w:after="300"/>
        <w:rPr>
          <w:color w:val="595959"/>
          <w:sz w:val="20"/>
          <w:szCs w:val="20"/>
        </w:rPr>
      </w:pPr>
    </w:p>
    <w:p w14:paraId="767321AF" w14:textId="1587B6B3" w:rsidR="00C32EF7" w:rsidRDefault="00C32EF7" w:rsidP="00C32EF7">
      <w:pPr>
        <w:pBdr>
          <w:bottom w:val="single" w:sz="12" w:space="6" w:color="1F3864"/>
        </w:pBdr>
        <w:spacing w:before="100" w:after="200"/>
        <w:jc w:val="center"/>
      </w:pPr>
      <w:r>
        <w:rPr>
          <w:b/>
          <w:bCs/>
          <w:color w:val="1F3864"/>
          <w:sz w:val="40"/>
          <w:szCs w:val="40"/>
        </w:rPr>
        <w:t>Heart Disease Prediction Using Machine Learning</w:t>
      </w:r>
    </w:p>
    <w:p w14:paraId="39E0288A" w14:textId="7DCAC7C2" w:rsidR="00C32EF7" w:rsidRDefault="00C32EF7" w:rsidP="00C32EF7">
      <w:pPr>
        <w:spacing w:before="200" w:after="80"/>
        <w:jc w:val="center"/>
      </w:pPr>
      <w:r>
        <w:rPr>
          <w:i/>
          <w:iCs/>
          <w:color w:val="444444"/>
          <w:sz w:val="24"/>
          <w:szCs w:val="24"/>
        </w:rPr>
        <w:t>Predictive Modeling for Early Detection of Cardiac Risk</w:t>
      </w:r>
    </w:p>
    <w:p w14:paraId="255CDC10" w14:textId="77777777" w:rsidR="00C32EF7" w:rsidRDefault="00C32EF7">
      <w:pPr>
        <w:spacing w:after="300"/>
        <w:jc w:val="center"/>
      </w:pPr>
    </w:p>
    <w:p w14:paraId="3BBE8BAD" w14:textId="77777777" w:rsidR="00C32EF7" w:rsidRDefault="00C32EF7">
      <w:pPr>
        <w:spacing w:after="300"/>
        <w:jc w:val="center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7290"/>
      </w:tblGrid>
      <w:tr w:rsidR="00A4468F" w14:paraId="50B97FDB" w14:textId="77777777"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F83C" w14:textId="77777777" w:rsidR="00A4468F" w:rsidRDefault="00000000">
            <w:r>
              <w:rPr>
                <w:b/>
                <w:bCs/>
                <w:color w:val="1F3864"/>
                <w:sz w:val="20"/>
                <w:szCs w:val="20"/>
              </w:rPr>
              <w:t>Research Domain</w:t>
            </w:r>
          </w:p>
        </w:tc>
        <w:tc>
          <w:tcPr>
            <w:tcW w:w="72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FA20" w14:textId="77777777" w:rsidR="00A4468F" w:rsidRDefault="00000000">
            <w:r>
              <w:rPr>
                <w:sz w:val="20"/>
                <w:szCs w:val="20"/>
              </w:rPr>
              <w:t>Healthcare Informatics &amp; Applied Machine Learning</w:t>
            </w:r>
          </w:p>
        </w:tc>
      </w:tr>
      <w:tr w:rsidR="00A4468F" w14:paraId="4B999FB5" w14:textId="77777777"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D36A" w14:textId="77777777" w:rsidR="00A4468F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72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8810" w14:textId="77777777" w:rsidR="00A4468F" w:rsidRDefault="00000000">
            <w:r>
              <w:rPr>
                <w:sz w:val="20"/>
                <w:szCs w:val="20"/>
              </w:rPr>
              <w:t>UCI Heart Disease Dataset (Cleveland, Hungary, Switzerland, Long Beach V)</w:t>
            </w:r>
          </w:p>
        </w:tc>
      </w:tr>
      <w:tr w:rsidR="00A4468F" w14:paraId="0033C45F" w14:textId="77777777"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D10C" w14:textId="77777777" w:rsidR="00A4468F" w:rsidRDefault="00000000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2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A195" w14:textId="77777777" w:rsidR="00A4468F" w:rsidRDefault="00000000">
            <w:r>
              <w:rPr>
                <w:sz w:val="20"/>
                <w:szCs w:val="20"/>
              </w:rPr>
              <w:t>Binary Classification for Early Cardiac Risk Detection</w:t>
            </w:r>
          </w:p>
        </w:tc>
      </w:tr>
    </w:tbl>
    <w:p w14:paraId="1D379592" w14:textId="308BDE38" w:rsidR="00A4468F" w:rsidRDefault="00A4468F">
      <w:pPr>
        <w:spacing w:before="80"/>
      </w:pPr>
    </w:p>
    <w:p w14:paraId="45952C9D" w14:textId="77777777" w:rsidR="00C32EF7" w:rsidRDefault="00C32EF7">
      <w:pPr>
        <w:spacing w:before="80"/>
      </w:pPr>
    </w:p>
    <w:p w14:paraId="7871C46C" w14:textId="77777777" w:rsidR="00A4468F" w:rsidRDefault="00000000">
      <w:pPr>
        <w:pStyle w:val="Heading1"/>
        <w:pBdr>
          <w:bottom w:val="single" w:sz="6" w:space="4" w:color="2E75B6"/>
        </w:pBdr>
      </w:pPr>
      <w:r>
        <w:t>1.  Problem Statement</w:t>
      </w:r>
    </w:p>
    <w:p w14:paraId="3F8960E4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CVDs account for approximately 17.9 million deaths per year, representing 31% of all global fatalities (WHO, 2023). A significant proportion of these deaths are attributable to late-stage diagnosis, when effective therapeutic intervention is substantially constrained (Virani et al., 2021). Clinical diagnosis of heart disease is inherently multifactorial, requiring concurrent interpretation of hemodynamic, biochemical, and electrocardiographic parameters — a process susceptible to human error and resource limitations (</w:t>
      </w:r>
      <w:proofErr w:type="spellStart"/>
      <w:r>
        <w:rPr>
          <w:color w:val="222222"/>
        </w:rPr>
        <w:t>Krittanawong</w:t>
      </w:r>
      <w:proofErr w:type="spellEnd"/>
      <w:r>
        <w:rPr>
          <w:color w:val="222222"/>
        </w:rPr>
        <w:t xml:space="preserve"> et al., 2020).</w:t>
      </w:r>
    </w:p>
    <w:p w14:paraId="1456D5D6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Automated predictive systems capable of integrating multi-dimensional patient data offer a viable solution to this diagnostic bottleneck. By flagging at-risk individuals at an early and treatable stage, such systems can reduce diagnostic delays, minimize clinician workload, and support evidence-based triage in under-resourced healthcare environments.</w:t>
      </w:r>
    </w:p>
    <w:p w14:paraId="62561F66" w14:textId="77777777" w:rsidR="00A4468F" w:rsidRDefault="00A4468F">
      <w:pPr>
        <w:spacing w:before="80"/>
      </w:pPr>
    </w:p>
    <w:p w14:paraId="1CFF6FC9" w14:textId="77777777" w:rsidR="00A4468F" w:rsidRDefault="00000000">
      <w:pPr>
        <w:pStyle w:val="Heading1"/>
        <w:pBdr>
          <w:bottom w:val="single" w:sz="6" w:space="4" w:color="2E75B6"/>
        </w:pBdr>
      </w:pPr>
      <w:r>
        <w:t>2.  Research Domain</w:t>
      </w:r>
    </w:p>
    <w:p w14:paraId="0E7042CC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This study sits at the intersection of Healthcare Informatics and Applied Machine Learning, applying supervised classification techniques to structured clinical data. The research leverages diagnostic modalities — including resting electrocardiographic findings, hemodynamic measurements, and exercise stress test outcomes — as predictive signals within a data-driven modeling framework.</w:t>
      </w:r>
    </w:p>
    <w:p w14:paraId="03BF383F" w14:textId="77777777" w:rsidR="00A4468F" w:rsidRDefault="00000000">
      <w:pPr>
        <w:spacing w:before="60" w:after="100" w:line="276" w:lineRule="auto"/>
        <w:jc w:val="both"/>
        <w:rPr>
          <w:color w:val="222222"/>
        </w:rPr>
      </w:pPr>
      <w:r>
        <w:rPr>
          <w:color w:val="222222"/>
        </w:rPr>
        <w:t>The binary classification task (heart disease present vs. absent) provides a well-defined learning objective, enabling rigorous algorithmic benchmarking against validated clinical ground truth (Detrano et al., 1989).</w:t>
      </w:r>
    </w:p>
    <w:p w14:paraId="648631CC" w14:textId="77777777" w:rsidR="00C32EF7" w:rsidRDefault="00C32EF7">
      <w:pPr>
        <w:spacing w:before="60" w:after="100" w:line="276" w:lineRule="auto"/>
        <w:jc w:val="both"/>
        <w:rPr>
          <w:color w:val="222222"/>
        </w:rPr>
      </w:pPr>
    </w:p>
    <w:p w14:paraId="7CFD75F1" w14:textId="77777777" w:rsidR="00C32EF7" w:rsidRDefault="00C32EF7">
      <w:pPr>
        <w:spacing w:before="60" w:after="100" w:line="276" w:lineRule="auto"/>
        <w:jc w:val="both"/>
        <w:rPr>
          <w:color w:val="222222"/>
        </w:rPr>
      </w:pPr>
    </w:p>
    <w:p w14:paraId="5412DF76" w14:textId="77777777" w:rsidR="00C32EF7" w:rsidRDefault="00C32EF7">
      <w:pPr>
        <w:spacing w:before="60" w:after="100" w:line="276" w:lineRule="auto"/>
        <w:jc w:val="both"/>
        <w:rPr>
          <w:color w:val="222222"/>
        </w:rPr>
      </w:pPr>
    </w:p>
    <w:p w14:paraId="52DD2E27" w14:textId="77777777" w:rsidR="00C32EF7" w:rsidRDefault="00C32EF7">
      <w:pPr>
        <w:spacing w:before="60" w:after="100" w:line="276" w:lineRule="auto"/>
        <w:jc w:val="both"/>
      </w:pPr>
    </w:p>
    <w:p w14:paraId="59DD7BD6" w14:textId="77777777" w:rsidR="00A4468F" w:rsidRDefault="00A4468F">
      <w:pPr>
        <w:spacing w:before="80"/>
      </w:pPr>
    </w:p>
    <w:p w14:paraId="20E4AE5D" w14:textId="77777777" w:rsidR="00A4468F" w:rsidRDefault="00000000">
      <w:pPr>
        <w:pStyle w:val="Heading1"/>
        <w:pBdr>
          <w:bottom w:val="single" w:sz="6" w:space="4" w:color="2E75B6"/>
        </w:pBdr>
      </w:pPr>
      <w:r>
        <w:t>3.  Dataset Description</w:t>
      </w:r>
    </w:p>
    <w:p w14:paraId="0001F5AA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The study utilizes the UCI Heart Disease Dataset, an aggregated repository compiled from four historical clinical sources: Cleveland, Hungary, Switzerland, and Long Beach V. Although the original database encompasses 76 attributes, this study confines analysis to 14 standard features consistently employed across peer-reviewed studies on cardiovascular risk classification (Detrano et al., 1989).</w:t>
      </w:r>
    </w:p>
    <w:p w14:paraId="663A1FFF" w14:textId="77777777" w:rsidR="00A4468F" w:rsidRDefault="00A4468F">
      <w:pPr>
        <w:spacing w:before="100"/>
      </w:pPr>
    </w:p>
    <w:p w14:paraId="5EEA5E0A" w14:textId="77777777" w:rsidR="00A4468F" w:rsidRDefault="00000000">
      <w:pPr>
        <w:pStyle w:val="Heading2"/>
      </w:pPr>
      <w:proofErr w:type="gramStart"/>
      <w:r>
        <w:t>3.1  Feature</w:t>
      </w:r>
      <w:proofErr w:type="gramEnd"/>
      <w:r>
        <w:t xml:space="preserve"> Attributes</w:t>
      </w:r>
    </w:p>
    <w:p w14:paraId="60269C9E" w14:textId="77777777" w:rsidR="00A4468F" w:rsidRDefault="00A4468F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2271"/>
        <w:gridCol w:w="6968"/>
      </w:tblGrid>
      <w:tr w:rsidR="00C32EF7" w14:paraId="49FB8B44" w14:textId="77777777" w:rsidTr="00C32EF7">
        <w:trPr>
          <w:tblHeader/>
        </w:trPr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79B3D" w14:textId="77777777" w:rsidR="00C32EF7" w:rsidRDefault="00C32EF7" w:rsidP="00AF59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B3360" w14:textId="77777777" w:rsidR="00C32EF7" w:rsidRDefault="00C32EF7" w:rsidP="00AF59C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EB6E6" w14:textId="77777777" w:rsidR="00C32EF7" w:rsidRDefault="00C32EF7" w:rsidP="00AF59C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2EF7" w14:paraId="6944D86B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9741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380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DC01" w14:textId="77777777" w:rsidR="00C32EF7" w:rsidRDefault="00C32EF7" w:rsidP="00AF59C0">
            <w:r>
              <w:rPr>
                <w:sz w:val="20"/>
                <w:szCs w:val="20"/>
              </w:rPr>
              <w:t>Patient age in years</w:t>
            </w:r>
          </w:p>
        </w:tc>
      </w:tr>
      <w:tr w:rsidR="00C32EF7" w14:paraId="7743F7BC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7AB5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3291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C315" w14:textId="77777777" w:rsidR="00C32EF7" w:rsidRDefault="00C32EF7" w:rsidP="00AF59C0">
            <w:r>
              <w:rPr>
                <w:sz w:val="20"/>
                <w:szCs w:val="20"/>
              </w:rPr>
              <w:t>Biological sex (1 = male; 0 = female)</w:t>
            </w:r>
          </w:p>
        </w:tc>
      </w:tr>
      <w:tr w:rsidR="00C32EF7" w14:paraId="0588F099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D1EC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107E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8FBC" w14:textId="77777777" w:rsidR="00C32EF7" w:rsidRDefault="00C32EF7" w:rsidP="00AF59C0">
            <w:r>
              <w:rPr>
                <w:sz w:val="20"/>
                <w:szCs w:val="20"/>
              </w:rPr>
              <w:t>Chest pain type (4 categorical values: typical angina, atypical angina, non-anginal pain, asymptomatic)</w:t>
            </w:r>
          </w:p>
        </w:tc>
      </w:tr>
      <w:tr w:rsidR="00C32EF7" w14:paraId="4BA7C114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421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D8D2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A3D" w14:textId="77777777" w:rsidR="00C32EF7" w:rsidRDefault="00C32EF7" w:rsidP="00AF59C0">
            <w:r>
              <w:rPr>
                <w:sz w:val="20"/>
                <w:szCs w:val="20"/>
              </w:rPr>
              <w:t>Resting blood pressure on admission (mm Hg)</w:t>
            </w:r>
          </w:p>
        </w:tc>
      </w:tr>
      <w:tr w:rsidR="00C32EF7" w14:paraId="4B364989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ED1C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4B01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1458" w14:textId="77777777" w:rsidR="00C32EF7" w:rsidRDefault="00C32EF7" w:rsidP="00AF59C0">
            <w:r>
              <w:rPr>
                <w:sz w:val="20"/>
                <w:szCs w:val="20"/>
              </w:rPr>
              <w:t>Serum cholesterol level (mg/dl)</w:t>
            </w:r>
          </w:p>
        </w:tc>
      </w:tr>
      <w:tr w:rsidR="00C32EF7" w14:paraId="708829A9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F73D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E3A3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9D16" w14:textId="77777777" w:rsidR="00C32EF7" w:rsidRDefault="00C32EF7" w:rsidP="00AF59C0">
            <w:r>
              <w:rPr>
                <w:sz w:val="20"/>
                <w:szCs w:val="20"/>
              </w:rPr>
              <w:t>Fasting blood sugar &gt; 120 mg/dl (1 = true; 0 = false)</w:t>
            </w:r>
          </w:p>
        </w:tc>
      </w:tr>
      <w:tr w:rsidR="00C32EF7" w14:paraId="2C669B06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1BFA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08BC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CFA4" w14:textId="77777777" w:rsidR="00C32EF7" w:rsidRDefault="00C32EF7" w:rsidP="00AF59C0">
            <w:r>
              <w:rPr>
                <w:sz w:val="20"/>
                <w:szCs w:val="20"/>
              </w:rPr>
              <w:t>Resting electrocardiographic results (0 = normal; 1 = ST-T wave abnormality; 2 = probable/definite LVH)</w:t>
            </w:r>
          </w:p>
        </w:tc>
      </w:tr>
      <w:tr w:rsidR="00C32EF7" w14:paraId="184EA05C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03DA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B7C2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672B" w14:textId="77777777" w:rsidR="00C32EF7" w:rsidRDefault="00C32EF7" w:rsidP="00AF59C0">
            <w:r>
              <w:rPr>
                <w:sz w:val="20"/>
                <w:szCs w:val="20"/>
              </w:rPr>
              <w:t>Maximum heart rate achieved during stress test</w:t>
            </w:r>
          </w:p>
        </w:tc>
      </w:tr>
      <w:tr w:rsidR="00C32EF7" w14:paraId="1A68912F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A4B1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E7C6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9016" w14:textId="77777777" w:rsidR="00C32EF7" w:rsidRDefault="00C32EF7" w:rsidP="00AF59C0">
            <w:r>
              <w:rPr>
                <w:sz w:val="20"/>
                <w:szCs w:val="20"/>
              </w:rPr>
              <w:t>Exercise-induced angina (1 = yes; 0 = no)</w:t>
            </w:r>
          </w:p>
        </w:tc>
      </w:tr>
      <w:tr w:rsidR="00C32EF7" w14:paraId="4778465A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6ED9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4C33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4AC5" w14:textId="77777777" w:rsidR="00C32EF7" w:rsidRDefault="00C32EF7" w:rsidP="00AF59C0">
            <w:r>
              <w:rPr>
                <w:sz w:val="20"/>
                <w:szCs w:val="20"/>
              </w:rPr>
              <w:t>ST depression induced by exercise relative to rest</w:t>
            </w:r>
          </w:p>
        </w:tc>
      </w:tr>
      <w:tr w:rsidR="00C32EF7" w14:paraId="324CF2E8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BBEA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FC4F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slope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017" w14:textId="77777777" w:rsidR="00C32EF7" w:rsidRDefault="00C32EF7" w:rsidP="00AF59C0">
            <w:r>
              <w:rPr>
                <w:sz w:val="20"/>
                <w:szCs w:val="20"/>
              </w:rPr>
              <w:t xml:space="preserve">Slope of the peak exercise ST segment (0 = upsloping; 1 = flat; 2 = </w:t>
            </w:r>
            <w:proofErr w:type="spellStart"/>
            <w:r>
              <w:rPr>
                <w:sz w:val="20"/>
                <w:szCs w:val="20"/>
              </w:rPr>
              <w:t>downsloping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32EF7" w14:paraId="43FDFFC3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6BDF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2FB0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5F70" w14:textId="77777777" w:rsidR="00C32EF7" w:rsidRDefault="00C32EF7" w:rsidP="00AF59C0">
            <w:r>
              <w:rPr>
                <w:sz w:val="20"/>
                <w:szCs w:val="20"/>
              </w:rPr>
              <w:t>Number of major vessels (0–3) colored by fluoroscopy</w:t>
            </w:r>
          </w:p>
        </w:tc>
      </w:tr>
      <w:tr w:rsidR="00C32EF7" w14:paraId="73A257F0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BEE6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35F9" w14:textId="77777777" w:rsidR="00C32EF7" w:rsidRDefault="00C32EF7" w:rsidP="00AF59C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890B" w14:textId="77777777" w:rsidR="00C32EF7" w:rsidRDefault="00C32EF7" w:rsidP="00AF59C0">
            <w:r>
              <w:rPr>
                <w:sz w:val="20"/>
                <w:szCs w:val="20"/>
              </w:rPr>
              <w:t>Thalassemia indicator (1 = normal; 2 = fixed defect; 3 = reversible defect)</w:t>
            </w:r>
          </w:p>
        </w:tc>
      </w:tr>
      <w:tr w:rsidR="00C32EF7" w14:paraId="76562CCC" w14:textId="77777777" w:rsidTr="00C32EF7">
        <w:tc>
          <w:tcPr>
            <w:tcW w:w="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9696" w14:textId="77777777" w:rsidR="00C32EF7" w:rsidRDefault="00C32EF7" w:rsidP="00AF59C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D0D5" w14:textId="77777777" w:rsidR="00C32EF7" w:rsidRDefault="00C32EF7" w:rsidP="00AF59C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6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B23" w14:textId="77777777" w:rsidR="00C32EF7" w:rsidRDefault="00C32EF7" w:rsidP="00AF59C0">
            <w:r>
              <w:rPr>
                <w:sz w:val="20"/>
                <w:szCs w:val="20"/>
              </w:rPr>
              <w:t>Diagnosis of heart disease (0 = no disease; 1 = disease present)</w:t>
            </w:r>
          </w:p>
        </w:tc>
      </w:tr>
    </w:tbl>
    <w:p w14:paraId="781DC777" w14:textId="77777777" w:rsidR="00A4468F" w:rsidRDefault="00A4468F">
      <w:pPr>
        <w:spacing w:before="200"/>
      </w:pPr>
    </w:p>
    <w:p w14:paraId="09DE3057" w14:textId="77777777" w:rsidR="00C32EF7" w:rsidRDefault="00C32EF7">
      <w:pPr>
        <w:spacing w:before="200"/>
      </w:pPr>
    </w:p>
    <w:p w14:paraId="297A12CC" w14:textId="77777777" w:rsidR="00A4468F" w:rsidRDefault="00000000">
      <w:pPr>
        <w:pStyle w:val="Heading1"/>
        <w:pBdr>
          <w:bottom w:val="single" w:sz="6" w:space="4" w:color="2E75B6"/>
        </w:pBdr>
      </w:pPr>
      <w:r>
        <w:t>4.  Models &amp; Methodology</w:t>
      </w:r>
    </w:p>
    <w:p w14:paraId="4B2FEB9C" w14:textId="77777777" w:rsidR="00A4468F" w:rsidRDefault="00000000">
      <w:pPr>
        <w:spacing w:before="60" w:after="100" w:line="276" w:lineRule="auto"/>
        <w:jc w:val="both"/>
        <w:rPr>
          <w:color w:val="222222"/>
        </w:rPr>
      </w:pPr>
      <w:r>
        <w:rPr>
          <w:color w:val="222222"/>
        </w:rPr>
        <w:t>A comparative experimental design is employed in which four supervised classifiers are trained, validated, and evaluated against a uniform set of performance benchmarks. Model selection prioritizes the balance between predictive accuracy and clinical interpretability (</w:t>
      </w:r>
      <w:proofErr w:type="spellStart"/>
      <w:r>
        <w:rPr>
          <w:color w:val="222222"/>
        </w:rPr>
        <w:t>Rajpurkar</w:t>
      </w:r>
      <w:proofErr w:type="spellEnd"/>
      <w:r>
        <w:rPr>
          <w:color w:val="222222"/>
        </w:rPr>
        <w:t xml:space="preserve"> et al., 2022).</w:t>
      </w:r>
    </w:p>
    <w:p w14:paraId="42664A8D" w14:textId="77777777" w:rsidR="00C32EF7" w:rsidRDefault="00C32EF7">
      <w:pPr>
        <w:spacing w:before="60" w:after="100" w:line="276" w:lineRule="auto"/>
        <w:jc w:val="both"/>
        <w:rPr>
          <w:color w:val="222222"/>
        </w:rPr>
      </w:pPr>
    </w:p>
    <w:p w14:paraId="1BB1C333" w14:textId="77777777" w:rsidR="00C32EF7" w:rsidRDefault="00C32EF7">
      <w:pPr>
        <w:spacing w:before="60" w:after="100" w:line="276" w:lineRule="auto"/>
        <w:jc w:val="both"/>
      </w:pPr>
    </w:p>
    <w:p w14:paraId="086E8ECD" w14:textId="77777777" w:rsidR="00A4468F" w:rsidRDefault="00A4468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2EF7" w14:paraId="7500A6CF" w14:textId="77777777" w:rsidTr="00AF59C0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1FC4C" w14:textId="77777777" w:rsidR="00C32EF7" w:rsidRDefault="00C32EF7" w:rsidP="00AF59C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8E2C7" w14:textId="77777777" w:rsidR="00C32EF7" w:rsidRDefault="00C32EF7" w:rsidP="00AF59C0">
            <w:r>
              <w:rPr>
                <w:b/>
                <w:bCs/>
                <w:color w:val="FFFFFF"/>
                <w:sz w:val="20"/>
                <w:szCs w:val="20"/>
              </w:rPr>
              <w:t>Rationale for Inclusion</w:t>
            </w:r>
          </w:p>
        </w:tc>
      </w:tr>
      <w:tr w:rsidR="00C32EF7" w14:paraId="3D66B582" w14:textId="77777777" w:rsidTr="00AF59C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C4E15" w14:textId="77777777" w:rsidR="00C32EF7" w:rsidRDefault="00C32EF7" w:rsidP="00AF59C0">
            <w:r>
              <w:rPr>
                <w:b/>
                <w:bCs/>
                <w:color w:val="1F3864"/>
                <w:sz w:val="20"/>
                <w:szCs w:val="20"/>
              </w:rPr>
              <w:t>Logistic Regression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C5146" w14:textId="77777777" w:rsidR="00C32EF7" w:rsidRDefault="00C32EF7" w:rsidP="00AF59C0">
            <w:pPr>
              <w:jc w:val="both"/>
            </w:pPr>
            <w:r>
              <w:rPr>
                <w:sz w:val="20"/>
                <w:szCs w:val="20"/>
              </w:rPr>
              <w:t>Establishes a statistical baseline for binary classification; highly interpretable and computationally efficient.</w:t>
            </w:r>
          </w:p>
        </w:tc>
      </w:tr>
      <w:tr w:rsidR="00C32EF7" w14:paraId="49AA4101" w14:textId="77777777" w:rsidTr="00AF59C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E1638" w14:textId="77777777" w:rsidR="00C32EF7" w:rsidRDefault="00C32EF7" w:rsidP="00AF59C0">
            <w:r>
              <w:rPr>
                <w:b/>
                <w:bCs/>
                <w:color w:val="1F3864"/>
                <w:sz w:val="20"/>
                <w:szCs w:val="20"/>
              </w:rPr>
              <w:t>Support Vector Machine (SVM)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71B97" w14:textId="77777777" w:rsidR="00C32EF7" w:rsidRDefault="00C32EF7" w:rsidP="00AF59C0">
            <w:pPr>
              <w:jc w:val="both"/>
            </w:pPr>
            <w:r>
              <w:rPr>
                <w:sz w:val="20"/>
                <w:szCs w:val="20"/>
              </w:rPr>
              <w:t>Effective in high-dimensional clinical feature spaces; robust against overfitting with appropriate kernel selection.</w:t>
            </w:r>
          </w:p>
        </w:tc>
      </w:tr>
      <w:tr w:rsidR="00C32EF7" w14:paraId="6735648E" w14:textId="77777777" w:rsidTr="00AF59C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C9257" w14:textId="77777777" w:rsidR="00C32EF7" w:rsidRDefault="00C32EF7" w:rsidP="00AF59C0">
            <w:r>
              <w:rPr>
                <w:b/>
                <w:bCs/>
                <w:color w:val="1F3864"/>
                <w:sz w:val="20"/>
                <w:szCs w:val="20"/>
              </w:rPr>
              <w:t>Random Forest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6D850" w14:textId="77777777" w:rsidR="00C32EF7" w:rsidRDefault="00C32EF7" w:rsidP="00AF59C0">
            <w:pPr>
              <w:jc w:val="both"/>
            </w:pPr>
            <w:r>
              <w:rPr>
                <w:sz w:val="20"/>
                <w:szCs w:val="20"/>
              </w:rPr>
              <w:t>Ensemble-based approach that mitigates variance, handles missing data, and provides feature importance rankings.</w:t>
            </w:r>
          </w:p>
        </w:tc>
      </w:tr>
      <w:tr w:rsidR="00C32EF7" w14:paraId="1567C8B7" w14:textId="77777777" w:rsidTr="00AF59C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F8038" w14:textId="77777777" w:rsidR="00C32EF7" w:rsidRDefault="00C32EF7" w:rsidP="00AF59C0">
            <w:r>
              <w:rPr>
                <w:b/>
                <w:bCs/>
                <w:color w:val="1F3864"/>
                <w:sz w:val="20"/>
                <w:szCs w:val="20"/>
              </w:rPr>
              <w:t>Neural Network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695A6" w14:textId="362E69DE" w:rsidR="00A070DF" w:rsidRPr="00A070DF" w:rsidRDefault="00C32EF7" w:rsidP="00AF59C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Captures complex, non-linear interactions between physiological markers such as ST depression (</w:t>
            </w:r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  <w:r>
              <w:rPr>
                <w:sz w:val="20"/>
                <w:szCs w:val="20"/>
              </w:rPr>
              <w:t>) and peak heart rate (</w:t>
            </w:r>
            <w:proofErr w:type="spellStart"/>
            <w:r>
              <w:rPr>
                <w:sz w:val="20"/>
                <w:szCs w:val="20"/>
              </w:rPr>
              <w:t>thalach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070DF" w14:paraId="40113A12" w14:textId="77777777" w:rsidTr="00AF59C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450D9" w14:textId="199F376F" w:rsidR="00A070DF" w:rsidRDefault="00A070DF" w:rsidP="00AF59C0">
            <w:pPr>
              <w:rPr>
                <w:b/>
                <w:bCs/>
                <w:color w:val="1F3864"/>
                <w:sz w:val="20"/>
                <w:szCs w:val="20"/>
              </w:rPr>
            </w:pPr>
            <w:r w:rsidRPr="00A070DF">
              <w:rPr>
                <w:b/>
                <w:bCs/>
                <w:color w:val="1F3864"/>
                <w:sz w:val="20"/>
                <w:szCs w:val="20"/>
              </w:rPr>
              <w:t>Gradient Boosting (</w:t>
            </w:r>
            <w:proofErr w:type="spellStart"/>
            <w:r w:rsidRPr="00A070DF">
              <w:rPr>
                <w:b/>
                <w:bCs/>
                <w:color w:val="1F3864"/>
                <w:sz w:val="20"/>
                <w:szCs w:val="20"/>
              </w:rPr>
              <w:t>XGBoost</w:t>
            </w:r>
            <w:proofErr w:type="spellEnd"/>
            <w:r w:rsidRPr="00A070DF">
              <w:rPr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 w:rsidRPr="00A070DF">
              <w:rPr>
                <w:b/>
                <w:bCs/>
                <w:color w:val="1F3864"/>
                <w:sz w:val="20"/>
                <w:szCs w:val="20"/>
              </w:rPr>
              <w:t>LightGBM</w:t>
            </w:r>
            <w:proofErr w:type="spellEnd"/>
            <w:r w:rsidRPr="00A070DF">
              <w:rPr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 w:rsidRPr="00A070DF">
              <w:rPr>
                <w:b/>
                <w:bCs/>
                <w:color w:val="1F3864"/>
                <w:sz w:val="20"/>
                <w:szCs w:val="20"/>
              </w:rPr>
              <w:t>CatBoost</w:t>
            </w:r>
            <w:proofErr w:type="spellEnd"/>
            <w:r w:rsidRPr="00A070DF"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E42B1" w14:textId="6A41FB7A" w:rsidR="00A070DF" w:rsidRDefault="00A070DF" w:rsidP="00AF59C0">
            <w:pPr>
              <w:jc w:val="both"/>
              <w:rPr>
                <w:sz w:val="20"/>
                <w:szCs w:val="20"/>
              </w:rPr>
            </w:pPr>
            <w:r w:rsidRPr="00A070DF">
              <w:rPr>
                <w:sz w:val="20"/>
                <w:szCs w:val="20"/>
              </w:rPr>
              <w:t>Ensemble method that builds trees sequentially to correct previous errors; achieves high performance on tabular data and supports feature importance and interpretable predictions (e.g., SHAP).</w:t>
            </w:r>
          </w:p>
        </w:tc>
      </w:tr>
    </w:tbl>
    <w:p w14:paraId="498BCBED" w14:textId="77777777" w:rsidR="00C32EF7" w:rsidRDefault="00C32EF7" w:rsidP="00C32EF7">
      <w:pPr>
        <w:spacing w:before="100" w:after="100"/>
      </w:pPr>
    </w:p>
    <w:p w14:paraId="131B2CD3" w14:textId="77777777" w:rsidR="00C32EF7" w:rsidRDefault="00C32EF7" w:rsidP="00C32EF7">
      <w:pPr>
        <w:spacing w:before="80" w:after="120" w:line="360" w:lineRule="auto"/>
        <w:jc w:val="both"/>
      </w:pPr>
      <w:r>
        <w:t>The methodology will encompass the following procedural phases:</w:t>
      </w:r>
    </w:p>
    <w:p w14:paraId="14935972" w14:textId="77777777" w:rsidR="00C32EF7" w:rsidRDefault="00C32EF7" w:rsidP="00C32EF7">
      <w:pPr>
        <w:pStyle w:val="ListParagraph"/>
        <w:numPr>
          <w:ilvl w:val="0"/>
          <w:numId w:val="3"/>
        </w:numPr>
        <w:spacing w:before="60" w:after="60" w:line="340" w:lineRule="auto"/>
        <w:jc w:val="both"/>
      </w:pPr>
      <w:r w:rsidRPr="00BA652E">
        <w:t>Data pre-processing:</w:t>
      </w:r>
      <w:r>
        <w:t xml:space="preserve"> handling of missing values, feature normalization, and categorical encoding.</w:t>
      </w:r>
    </w:p>
    <w:p w14:paraId="73DB2621" w14:textId="77777777" w:rsidR="00C32EF7" w:rsidRDefault="00C32EF7" w:rsidP="00C32EF7">
      <w:pPr>
        <w:pStyle w:val="ListParagraph"/>
        <w:numPr>
          <w:ilvl w:val="0"/>
          <w:numId w:val="3"/>
        </w:numPr>
        <w:spacing w:before="60" w:after="60" w:line="340" w:lineRule="auto"/>
        <w:jc w:val="both"/>
      </w:pPr>
      <w:r>
        <w:t>Exploratory data analysis: correlation heatmaps and distribution profiling of clinical features.</w:t>
      </w:r>
    </w:p>
    <w:p w14:paraId="3952B746" w14:textId="77777777" w:rsidR="00C32EF7" w:rsidRDefault="00C32EF7" w:rsidP="00C32EF7">
      <w:pPr>
        <w:pStyle w:val="ListParagraph"/>
        <w:numPr>
          <w:ilvl w:val="0"/>
          <w:numId w:val="3"/>
        </w:numPr>
        <w:spacing w:before="60" w:after="60" w:line="340" w:lineRule="auto"/>
        <w:jc w:val="both"/>
      </w:pPr>
      <w:r>
        <w:t>Model training using stratified k-fold cross-validation to mitigate overfitting.</w:t>
      </w:r>
    </w:p>
    <w:p w14:paraId="354DD8DD" w14:textId="77777777" w:rsidR="00C32EF7" w:rsidRDefault="00C32EF7" w:rsidP="00C32EF7">
      <w:pPr>
        <w:pStyle w:val="ListParagraph"/>
        <w:numPr>
          <w:ilvl w:val="0"/>
          <w:numId w:val="3"/>
        </w:numPr>
        <w:spacing w:before="60" w:after="60" w:line="340" w:lineRule="auto"/>
        <w:jc w:val="both"/>
      </w:pPr>
      <w:r>
        <w:t>Hyperparameter optimization via grid search and randomized search techniques.</w:t>
      </w:r>
    </w:p>
    <w:p w14:paraId="0685675D" w14:textId="77777777" w:rsidR="00C32EF7" w:rsidRDefault="00C32EF7" w:rsidP="00C32EF7">
      <w:pPr>
        <w:pStyle w:val="ListParagraph"/>
        <w:numPr>
          <w:ilvl w:val="0"/>
          <w:numId w:val="3"/>
        </w:numPr>
        <w:spacing w:before="60" w:after="60" w:line="340" w:lineRule="auto"/>
        <w:jc w:val="both"/>
      </w:pPr>
      <w:r>
        <w:t>Performance evaluation using accuracy, precision, recall, F1-score, and the area under the ROC curve (AUC-ROC).</w:t>
      </w:r>
    </w:p>
    <w:p w14:paraId="3775E346" w14:textId="77777777" w:rsidR="00A4468F" w:rsidRDefault="00A4468F">
      <w:pPr>
        <w:spacing w:before="80"/>
      </w:pPr>
    </w:p>
    <w:p w14:paraId="409CC7D3" w14:textId="77777777" w:rsidR="00A4468F" w:rsidRDefault="00000000">
      <w:pPr>
        <w:pStyle w:val="Heading1"/>
        <w:pBdr>
          <w:bottom w:val="single" w:sz="6" w:space="4" w:color="2E75B6"/>
        </w:pBdr>
      </w:pPr>
      <w:r>
        <w:t>5.  Expected Outcomes</w:t>
      </w:r>
    </w:p>
    <w:p w14:paraId="59AAC9DC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The primary deliverable is a validated predictive model achieving high sensitivity and specificity, thereby minimizing both false-negative and false-positive cardiac classifications. Given the grave clinical consequences of missed diagnoses, maximizing recall for the positive class is a paramount design objective.</w:t>
      </w:r>
    </w:p>
    <w:p w14:paraId="080EDF75" w14:textId="77777777" w:rsidR="00A4468F" w:rsidRDefault="00000000">
      <w:pPr>
        <w:spacing w:before="60" w:after="100" w:line="276" w:lineRule="auto"/>
        <w:jc w:val="both"/>
      </w:pPr>
      <w:r>
        <w:rPr>
          <w:color w:val="222222"/>
        </w:rPr>
        <w:t>Secondary outcomes include:</w:t>
      </w:r>
    </w:p>
    <w:p w14:paraId="3D9F3983" w14:textId="77777777" w:rsidR="00A446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Identification of the most diagnostically significant features among the 14 attributes, informing a prioritized patient screening checklist.</w:t>
      </w:r>
    </w:p>
    <w:p w14:paraId="206E1E4C" w14:textId="77777777" w:rsidR="00A446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ranked algorithmic comparison providing evidence-based model selection guidance for analogous biomedical classification tasks.</w:t>
      </w:r>
    </w:p>
    <w:p w14:paraId="3B8D1CEE" w14:textId="77777777" w:rsidR="00A446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Insight into the collective influence of physiological markers — chest pain type, major vessel count, and ST depression — on cardiac risk stratification.</w:t>
      </w:r>
    </w:p>
    <w:p w14:paraId="2F9BAFB4" w14:textId="77777777" w:rsidR="00A4468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 prototype decision-support tool suitable for integration into secondary clinical diagnostic workflows.</w:t>
      </w:r>
    </w:p>
    <w:p w14:paraId="02B04CAF" w14:textId="77777777" w:rsidR="00A4468F" w:rsidRDefault="00A4468F">
      <w:pPr>
        <w:spacing w:before="80"/>
      </w:pPr>
    </w:p>
    <w:p w14:paraId="5577949C" w14:textId="77777777" w:rsidR="00A4468F" w:rsidRDefault="00A4468F">
      <w:pPr>
        <w:spacing w:before="120"/>
      </w:pPr>
    </w:p>
    <w:p w14:paraId="5E2FEE40" w14:textId="77777777" w:rsidR="00E53B3A" w:rsidRDefault="00E53B3A">
      <w:pPr>
        <w:spacing w:before="120"/>
      </w:pPr>
    </w:p>
    <w:p w14:paraId="678D1955" w14:textId="77777777" w:rsidR="00A4468F" w:rsidRDefault="00000000">
      <w:pPr>
        <w:pStyle w:val="Heading1"/>
        <w:pBdr>
          <w:bottom w:val="single" w:sz="6" w:space="4" w:color="2E75B6"/>
        </w:pBdr>
      </w:pPr>
      <w:r>
        <w:t>References</w:t>
      </w:r>
    </w:p>
    <w:p w14:paraId="2B11CAF7" w14:textId="77777777" w:rsidR="00A4468F" w:rsidRPr="00C32EF7" w:rsidRDefault="00000000">
      <w:pPr>
        <w:spacing w:before="60" w:after="80" w:line="276" w:lineRule="auto"/>
        <w:ind w:left="720" w:hanging="720"/>
        <w:rPr>
          <w:u w:val="single"/>
        </w:rPr>
      </w:pPr>
      <w:proofErr w:type="spellStart"/>
      <w:r>
        <w:t>Breiman</w:t>
      </w:r>
      <w:proofErr w:type="spellEnd"/>
      <w:r>
        <w:t xml:space="preserve">, L. (2001). Random forests. </w:t>
      </w:r>
      <w:r>
        <w:rPr>
          <w:i/>
          <w:iCs/>
        </w:rPr>
        <w:t>Machine Learning, 45</w:t>
      </w:r>
      <w:r>
        <w:t xml:space="preserve">(1), 5-32. </w:t>
      </w:r>
      <w:r w:rsidRPr="00C32EF7">
        <w:rPr>
          <w:u w:val="single"/>
        </w:rPr>
        <w:t>https://doi.org/10.1023/A:1010933404324</w:t>
      </w:r>
    </w:p>
    <w:p w14:paraId="64A42D96" w14:textId="77777777" w:rsidR="00A4468F" w:rsidRDefault="00000000">
      <w:pPr>
        <w:spacing w:before="60" w:after="80" w:line="276" w:lineRule="auto"/>
        <w:ind w:left="720" w:hanging="720"/>
      </w:pPr>
      <w:r>
        <w:t xml:space="preserve">Cortes, C., &amp; </w:t>
      </w:r>
      <w:proofErr w:type="spellStart"/>
      <w:r>
        <w:t>Vapnik</w:t>
      </w:r>
      <w:proofErr w:type="spellEnd"/>
      <w:r>
        <w:t xml:space="preserve">, V. (1995). Support-vector networks. </w:t>
      </w:r>
      <w:r>
        <w:rPr>
          <w:i/>
          <w:iCs/>
        </w:rPr>
        <w:t>Machine Learning, 20</w:t>
      </w:r>
      <w:r>
        <w:t xml:space="preserve">(3), 273-297. </w:t>
      </w:r>
      <w:r w:rsidRPr="00C32EF7">
        <w:rPr>
          <w:u w:val="single"/>
        </w:rPr>
        <w:t>https://doi.org/10.1007/BF00994018</w:t>
      </w:r>
    </w:p>
    <w:p w14:paraId="0975B4C1" w14:textId="77777777" w:rsidR="00A4468F" w:rsidRDefault="00000000">
      <w:pPr>
        <w:spacing w:before="60" w:after="80" w:line="276" w:lineRule="auto"/>
        <w:ind w:left="720" w:hanging="720"/>
      </w:pPr>
      <w:r>
        <w:t xml:space="preserve">Detrano, R., Janosi, A., </w:t>
      </w:r>
      <w:proofErr w:type="spellStart"/>
      <w:r>
        <w:t>Steinbrunn</w:t>
      </w:r>
      <w:proofErr w:type="spellEnd"/>
      <w:r>
        <w:t xml:space="preserve">, W., Pfisterer, M., Schmid, J., Sandhu, S., Guppy, K., Lee, S., &amp; Froelicher, V. (1989). International application of a new probability algorithm for the diagnosis of coronary artery disease. </w:t>
      </w:r>
      <w:r>
        <w:rPr>
          <w:i/>
          <w:iCs/>
        </w:rPr>
        <w:t>The American Journal of Cardiology, 64</w:t>
      </w:r>
      <w:r>
        <w:t xml:space="preserve">(5), 304-310. </w:t>
      </w:r>
      <w:r w:rsidRPr="00C32EF7">
        <w:rPr>
          <w:u w:val="single"/>
        </w:rPr>
        <w:t>https://doi.org/10.1016/0002-9149(89)90524-9</w:t>
      </w:r>
    </w:p>
    <w:p w14:paraId="03A3FAC0" w14:textId="56059469" w:rsidR="00A4468F" w:rsidRDefault="00000000">
      <w:pPr>
        <w:spacing w:before="60" w:after="80" w:line="276" w:lineRule="auto"/>
        <w:ind w:left="720" w:hanging="720"/>
      </w:pPr>
      <w:proofErr w:type="spellStart"/>
      <w:r>
        <w:t>Krittanawong</w:t>
      </w:r>
      <w:proofErr w:type="spellEnd"/>
      <w:r>
        <w:t xml:space="preserve">, C., Zhang, H., Wang, Z., Aydar, M., &amp; Kitai, T. (2020). Artificial intelligence in precision cardiovascular medicine. </w:t>
      </w:r>
      <w:r>
        <w:rPr>
          <w:i/>
          <w:iCs/>
        </w:rPr>
        <w:t>Journal of the American College of Cardiology, 69</w:t>
      </w:r>
      <w:r>
        <w:t>(21), 2657-2664.</w:t>
      </w:r>
      <w:r w:rsidR="00C32EF7">
        <w:br/>
      </w:r>
      <w:r>
        <w:t xml:space="preserve"> </w:t>
      </w:r>
      <w:r w:rsidRPr="00C32EF7">
        <w:rPr>
          <w:u w:val="single"/>
        </w:rPr>
        <w:t>https://doi.org/10.1016/j.jacc.2017.03.571</w:t>
      </w:r>
    </w:p>
    <w:p w14:paraId="44D758CA" w14:textId="2F1B617A" w:rsidR="00A4468F" w:rsidRDefault="00000000">
      <w:pPr>
        <w:spacing w:before="60" w:after="80" w:line="276" w:lineRule="auto"/>
        <w:ind w:left="720" w:hanging="720"/>
      </w:pPr>
      <w:proofErr w:type="spellStart"/>
      <w:r>
        <w:t>Rajpurkar</w:t>
      </w:r>
      <w:proofErr w:type="spellEnd"/>
      <w:r>
        <w:t xml:space="preserve">, P., Chen, E., Banerjee, O., &amp; Topol, E. J. (2022). AI in health and medicine. </w:t>
      </w:r>
      <w:r>
        <w:rPr>
          <w:i/>
          <w:iCs/>
        </w:rPr>
        <w:t>Nature Medicine, 28</w:t>
      </w:r>
      <w:r>
        <w:t xml:space="preserve">(1), 31-38. </w:t>
      </w:r>
      <w:r w:rsidR="00C32EF7">
        <w:br/>
      </w:r>
      <w:r w:rsidRPr="00C32EF7">
        <w:rPr>
          <w:u w:val="single"/>
        </w:rPr>
        <w:t>https://doi.org/10.1038/s41591-021-01614-0</w:t>
      </w:r>
    </w:p>
    <w:p w14:paraId="14760A56" w14:textId="48775D49" w:rsidR="00A4468F" w:rsidRDefault="00000000">
      <w:pPr>
        <w:spacing w:before="60" w:after="80" w:line="276" w:lineRule="auto"/>
        <w:ind w:left="720" w:hanging="720"/>
      </w:pPr>
      <w:r>
        <w:t xml:space="preserve">Virani, S. S., Alonso, A., Aparicio, H. J., Benjamin, E. J., Bittencourt, M. S., Callaway, C. W., ... &amp; Tsao, C. W. (2021). Heart disease and stroke statistics—2021 update. </w:t>
      </w:r>
      <w:r>
        <w:rPr>
          <w:i/>
          <w:iCs/>
        </w:rPr>
        <w:t>Circulation, 143</w:t>
      </w:r>
      <w:r>
        <w:t xml:space="preserve">(8), e254-e743. </w:t>
      </w:r>
      <w:r w:rsidR="00C32EF7">
        <w:br/>
      </w:r>
      <w:r w:rsidRPr="00C32EF7">
        <w:rPr>
          <w:u w:val="single"/>
        </w:rPr>
        <w:t>https://doi.org/10.1161/CIR.0000000000000950</w:t>
      </w:r>
    </w:p>
    <w:p w14:paraId="0F774DA0" w14:textId="77777777" w:rsidR="00A4468F" w:rsidRDefault="00000000">
      <w:pPr>
        <w:spacing w:before="60" w:after="80" w:line="276" w:lineRule="auto"/>
        <w:ind w:left="720" w:hanging="720"/>
      </w:pPr>
      <w:r>
        <w:t xml:space="preserve">World Health Organization. (2023). </w:t>
      </w:r>
      <w:r>
        <w:rPr>
          <w:i/>
          <w:iCs/>
        </w:rPr>
        <w:t>Cardiovascular diseases (CVDs)</w:t>
      </w:r>
      <w:r>
        <w:t xml:space="preserve">. WHO. </w:t>
      </w:r>
      <w:r w:rsidRPr="00C32EF7">
        <w:rPr>
          <w:u w:val="single"/>
        </w:rPr>
        <w:t>https://www.who.int/news-room/fact-sheets/detail/cardiovascular-diseases-(cvds)</w:t>
      </w:r>
    </w:p>
    <w:sectPr w:rsidR="00A4468F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7BDA" w14:textId="77777777" w:rsidR="00133B9E" w:rsidRDefault="00133B9E">
      <w:r>
        <w:separator/>
      </w:r>
    </w:p>
  </w:endnote>
  <w:endnote w:type="continuationSeparator" w:id="0">
    <w:p w14:paraId="3EE9C698" w14:textId="77777777" w:rsidR="00133B9E" w:rsidRDefault="00133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113F" w14:textId="77777777" w:rsidR="00C32EF7" w:rsidRDefault="00C32EF7" w:rsidP="00C32EF7">
    <w:pPr>
      <w:pBdr>
        <w:top w:val="single" w:sz="6" w:space="1" w:color="1F3864"/>
      </w:pBdr>
      <w:tabs>
        <w:tab w:val="right" w:pos="9360"/>
      </w:tabs>
      <w:spacing w:before="80"/>
    </w:pPr>
    <w:r>
      <w:rPr>
        <w:color w:val="555555"/>
        <w:sz w:val="18"/>
        <w:szCs w:val="18"/>
      </w:rPr>
      <w:t>GIFT University, Gujranwala — AD Computer Science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pgNum/>
    </w:r>
  </w:p>
  <w:p w14:paraId="35AA6DB6" w14:textId="77777777" w:rsidR="00C32EF7" w:rsidRDefault="00C32E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28BAD" w14:textId="77777777" w:rsidR="00133B9E" w:rsidRDefault="00133B9E">
      <w:r>
        <w:separator/>
      </w:r>
    </w:p>
  </w:footnote>
  <w:footnote w:type="continuationSeparator" w:id="0">
    <w:p w14:paraId="75F61610" w14:textId="77777777" w:rsidR="00133B9E" w:rsidRDefault="00133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CF1E" w14:textId="622FBCF7" w:rsidR="00A4468F" w:rsidRPr="00C32EF7" w:rsidRDefault="00C32EF7" w:rsidP="00C32EF7">
    <w:pPr>
      <w:pBdr>
        <w:bottom w:val="single" w:sz="4" w:space="4" w:color="2E75B6"/>
      </w:pBdr>
      <w:spacing w:after="120"/>
    </w:pPr>
    <w:r>
      <w:rPr>
        <w:caps/>
        <w:color w:val="888888"/>
        <w:sz w:val="18"/>
        <w:szCs w:val="18"/>
      </w:rPr>
      <w:t>HEART DISEASE PREDICTION USING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1858"/>
    <w:multiLevelType w:val="hybridMultilevel"/>
    <w:tmpl w:val="1A522374"/>
    <w:lvl w:ilvl="0" w:tplc="70EC882E">
      <w:start w:val="1"/>
      <w:numFmt w:val="bullet"/>
      <w:lvlText w:val="•"/>
      <w:lvlJc w:val="left"/>
      <w:pPr>
        <w:ind w:left="720" w:hanging="360"/>
      </w:pPr>
    </w:lvl>
    <w:lvl w:ilvl="1" w:tplc="B7548E88">
      <w:numFmt w:val="decimal"/>
      <w:lvlText w:val=""/>
      <w:lvlJc w:val="left"/>
    </w:lvl>
    <w:lvl w:ilvl="2" w:tplc="7A604CB8">
      <w:numFmt w:val="decimal"/>
      <w:lvlText w:val=""/>
      <w:lvlJc w:val="left"/>
    </w:lvl>
    <w:lvl w:ilvl="3" w:tplc="C29ED690">
      <w:numFmt w:val="decimal"/>
      <w:lvlText w:val=""/>
      <w:lvlJc w:val="left"/>
    </w:lvl>
    <w:lvl w:ilvl="4" w:tplc="14DA331E">
      <w:numFmt w:val="decimal"/>
      <w:lvlText w:val=""/>
      <w:lvlJc w:val="left"/>
    </w:lvl>
    <w:lvl w:ilvl="5" w:tplc="96EA0118">
      <w:numFmt w:val="decimal"/>
      <w:lvlText w:val=""/>
      <w:lvlJc w:val="left"/>
    </w:lvl>
    <w:lvl w:ilvl="6" w:tplc="77126EAA">
      <w:numFmt w:val="decimal"/>
      <w:lvlText w:val=""/>
      <w:lvlJc w:val="left"/>
    </w:lvl>
    <w:lvl w:ilvl="7" w:tplc="F39651D0">
      <w:numFmt w:val="decimal"/>
      <w:lvlText w:val=""/>
      <w:lvlJc w:val="left"/>
    </w:lvl>
    <w:lvl w:ilvl="8" w:tplc="27568D34">
      <w:numFmt w:val="decimal"/>
      <w:lvlText w:val=""/>
      <w:lvlJc w:val="left"/>
    </w:lvl>
  </w:abstractNum>
  <w:abstractNum w:abstractNumId="1" w15:restartNumberingAfterBreak="0">
    <w:nsid w:val="4B2E650D"/>
    <w:multiLevelType w:val="hybridMultilevel"/>
    <w:tmpl w:val="D22EBB54"/>
    <w:lvl w:ilvl="0" w:tplc="3EC09DEA">
      <w:start w:val="1"/>
      <w:numFmt w:val="bullet"/>
      <w:lvlText w:val="•"/>
      <w:lvlJc w:val="left"/>
      <w:pPr>
        <w:ind w:left="720" w:hanging="360"/>
      </w:pPr>
    </w:lvl>
    <w:lvl w:ilvl="1" w:tplc="81FC1724">
      <w:numFmt w:val="decimal"/>
      <w:lvlText w:val=""/>
      <w:lvlJc w:val="left"/>
    </w:lvl>
    <w:lvl w:ilvl="2" w:tplc="28A8FF26">
      <w:numFmt w:val="decimal"/>
      <w:lvlText w:val=""/>
      <w:lvlJc w:val="left"/>
    </w:lvl>
    <w:lvl w:ilvl="3" w:tplc="FE7EDB80">
      <w:numFmt w:val="decimal"/>
      <w:lvlText w:val=""/>
      <w:lvlJc w:val="left"/>
    </w:lvl>
    <w:lvl w:ilvl="4" w:tplc="61CA2254">
      <w:numFmt w:val="decimal"/>
      <w:lvlText w:val=""/>
      <w:lvlJc w:val="left"/>
    </w:lvl>
    <w:lvl w:ilvl="5" w:tplc="505C66EC">
      <w:numFmt w:val="decimal"/>
      <w:lvlText w:val=""/>
      <w:lvlJc w:val="left"/>
    </w:lvl>
    <w:lvl w:ilvl="6" w:tplc="CA662D28">
      <w:numFmt w:val="decimal"/>
      <w:lvlText w:val=""/>
      <w:lvlJc w:val="left"/>
    </w:lvl>
    <w:lvl w:ilvl="7" w:tplc="E6A63478">
      <w:numFmt w:val="decimal"/>
      <w:lvlText w:val=""/>
      <w:lvlJc w:val="left"/>
    </w:lvl>
    <w:lvl w:ilvl="8" w:tplc="4FBAEB80">
      <w:numFmt w:val="decimal"/>
      <w:lvlText w:val=""/>
      <w:lvlJc w:val="left"/>
    </w:lvl>
  </w:abstractNum>
  <w:abstractNum w:abstractNumId="2" w15:restartNumberingAfterBreak="0">
    <w:nsid w:val="7DDE73E5"/>
    <w:multiLevelType w:val="hybridMultilevel"/>
    <w:tmpl w:val="E4A4E802"/>
    <w:lvl w:ilvl="0" w:tplc="2FFE7D46">
      <w:start w:val="1"/>
      <w:numFmt w:val="bullet"/>
      <w:lvlText w:val="●"/>
      <w:lvlJc w:val="left"/>
      <w:pPr>
        <w:ind w:left="720" w:hanging="360"/>
      </w:pPr>
    </w:lvl>
    <w:lvl w:ilvl="1" w:tplc="4DCCFF0A">
      <w:start w:val="1"/>
      <w:numFmt w:val="bullet"/>
      <w:lvlText w:val="○"/>
      <w:lvlJc w:val="left"/>
      <w:pPr>
        <w:ind w:left="1440" w:hanging="360"/>
      </w:pPr>
    </w:lvl>
    <w:lvl w:ilvl="2" w:tplc="EFE4B53C">
      <w:start w:val="1"/>
      <w:numFmt w:val="bullet"/>
      <w:lvlText w:val="■"/>
      <w:lvlJc w:val="left"/>
      <w:pPr>
        <w:ind w:left="2160" w:hanging="360"/>
      </w:pPr>
    </w:lvl>
    <w:lvl w:ilvl="3" w:tplc="30244B00">
      <w:start w:val="1"/>
      <w:numFmt w:val="bullet"/>
      <w:lvlText w:val="●"/>
      <w:lvlJc w:val="left"/>
      <w:pPr>
        <w:ind w:left="2880" w:hanging="360"/>
      </w:pPr>
    </w:lvl>
    <w:lvl w:ilvl="4" w:tplc="BE56670A">
      <w:start w:val="1"/>
      <w:numFmt w:val="bullet"/>
      <w:lvlText w:val="○"/>
      <w:lvlJc w:val="left"/>
      <w:pPr>
        <w:ind w:left="3600" w:hanging="360"/>
      </w:pPr>
    </w:lvl>
    <w:lvl w:ilvl="5" w:tplc="82268880">
      <w:start w:val="1"/>
      <w:numFmt w:val="bullet"/>
      <w:lvlText w:val="■"/>
      <w:lvlJc w:val="left"/>
      <w:pPr>
        <w:ind w:left="4320" w:hanging="360"/>
      </w:pPr>
    </w:lvl>
    <w:lvl w:ilvl="6" w:tplc="35A685C2">
      <w:start w:val="1"/>
      <w:numFmt w:val="bullet"/>
      <w:lvlText w:val="●"/>
      <w:lvlJc w:val="left"/>
      <w:pPr>
        <w:ind w:left="5040" w:hanging="360"/>
      </w:pPr>
    </w:lvl>
    <w:lvl w:ilvl="7" w:tplc="ECF87E84">
      <w:start w:val="1"/>
      <w:numFmt w:val="bullet"/>
      <w:lvlText w:val="●"/>
      <w:lvlJc w:val="left"/>
      <w:pPr>
        <w:ind w:left="5760" w:hanging="360"/>
      </w:pPr>
    </w:lvl>
    <w:lvl w:ilvl="8" w:tplc="1A84A154">
      <w:start w:val="1"/>
      <w:numFmt w:val="bullet"/>
      <w:lvlText w:val="●"/>
      <w:lvlJc w:val="left"/>
      <w:pPr>
        <w:ind w:left="6480" w:hanging="360"/>
      </w:pPr>
    </w:lvl>
  </w:abstractNum>
  <w:num w:numId="1" w16cid:durableId="801926877">
    <w:abstractNumId w:val="2"/>
    <w:lvlOverride w:ilvl="0">
      <w:startOverride w:val="1"/>
    </w:lvlOverride>
  </w:num>
  <w:num w:numId="2" w16cid:durableId="509486803">
    <w:abstractNumId w:val="1"/>
    <w:lvlOverride w:ilvl="0">
      <w:startOverride w:val="1"/>
    </w:lvlOverride>
  </w:num>
  <w:num w:numId="3" w16cid:durableId="1108967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8F"/>
    <w:rsid w:val="00133B9E"/>
    <w:rsid w:val="002134D1"/>
    <w:rsid w:val="002215A3"/>
    <w:rsid w:val="00443CA7"/>
    <w:rsid w:val="009D561D"/>
    <w:rsid w:val="00A070DF"/>
    <w:rsid w:val="00A4468F"/>
    <w:rsid w:val="00C32EF7"/>
    <w:rsid w:val="00E5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DF73"/>
  <w15:docId w15:val="{BEAB1D42-C026-4237-9F7D-04354F40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2E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EF7"/>
  </w:style>
  <w:style w:type="paragraph" w:styleId="Footer">
    <w:name w:val="footer"/>
    <w:basedOn w:val="Normal"/>
    <w:link w:val="FooterChar"/>
    <w:uiPriority w:val="99"/>
    <w:unhideWhenUsed/>
    <w:rsid w:val="00C32E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Kashif Shabbir</cp:lastModifiedBy>
  <cp:revision>11</cp:revision>
  <dcterms:created xsi:type="dcterms:W3CDTF">2026-04-23T10:30:00Z</dcterms:created>
  <dcterms:modified xsi:type="dcterms:W3CDTF">2026-04-23T15:37:00Z</dcterms:modified>
</cp:coreProperties>
</file>