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Quarryside Finance Ltd — Customer Order — Desktop plus cloud bundle</w:t>
      </w:r>
    </w:p>
    <w:p>
      <w:pPr>
        <w:pStyle w:val="Caption"/>
      </w:pPr>
      <w:r>
        <w:t xml:space="preserve">SYNTHETIC CLIENT CONTRACT  ·  DEMONSTRATION ONLY</w:t>
      </w:r>
    </w:p>
    <w:p>
      <w:r>
        <w:t xml:space="preserve">Document ID: C017 | Received: 13 October 2026</w:t>
      </w:r>
    </w:p>
    <w:p>
      <w:r>
        <w:t xml:space="preserve">Counterparty: Quarryside Finance Ltd (fictional)</w:t>
      </w:r>
    </w:p>
    <w:p>
      <w:r>
        <w:t xml:space="preserve">Provider / discloser: Northbridge Security Tools Ltd (fictional)</w:t>
      </w:r>
    </w:p>
    <w:p>
      <w:r>
        <w:t xml:space="preserve">Agreement context: Direct combined desktop licence and vendor-cloud scanning order</w:t>
      </w:r>
    </w:p>
    <w:p>
      <w:r>
        <w:t xml:space="preserve">Standard family: Customer Order — Desktop plus cloud bundle | Proposed reference: ORDER-COMBINED</w:t>
      </w:r>
    </w:p>
    <w:p>
      <w:pPr>
        <w:pStyle w:val="Caption"/>
      </w:pPr>
      <w:r>
        <w:t xml:space="preserve">This is a fictional incoming agreement for matching and reviewer-workflow tests. Its clauses have not been approved by legal counsel. Identical model wording is not proof of legal suitability.</w:t>
      </w:r>
    </w:p>
    <w:p>
      <w:pPr>
        <w:pStyle w:val="Heading2"/>
      </w:pPr>
      <w:r>
        <w:t xml:space="preserve">1. Order scope</w:t>
      </w:r>
    </w:p>
    <w:p>
      <w:r>
        <w:t xml:space="preserve">Combined order covering 20 named desktop licences and a vendor-managed application scanning service.</w:t>
      </w:r>
    </w:p>
    <w:p>
      <w:pPr>
        <w:pStyle w:val="Heading2"/>
      </w:pPr>
      <w:r>
        <w:t xml:space="preserve">2. Components</w:t>
      </w:r>
    </w:p>
    <w:p>
      <w:r>
        <w:t xml:space="preserve">Desktop rights remain restricted to named users; cloud scanning usage and service limits are specified separately.</w:t>
      </w:r>
    </w:p>
    <w:p>
      <w:pPr>
        <w:pStyle w:val="Heading2"/>
      </w:pPr>
      <w:r>
        <w:t xml:space="preserve">3. Subscription</w:t>
      </w:r>
    </w:p>
    <w:p>
      <w:r>
        <w:t xml:space="preserve">Both components run for a 12-month initial term, with component-specific amendments tracked separately.</w:t>
      </w:r>
    </w:p>
    <w:p>
      <w:pPr>
        <w:pStyle w:val="Heading2"/>
      </w:pPr>
      <w:r>
        <w:t xml:space="preserve">4. Charges</w:t>
      </w:r>
    </w:p>
    <w:p>
      <w:r>
        <w:t xml:space="preserve">Illustrative fees: GBP 5,800 desktop component and GBP 10,800 cloud component, paid in advance.</w:t>
      </w:r>
    </w:p>
    <w:p>
      <w:pPr>
        <w:pStyle w:val="Heading2"/>
      </w:pPr>
      <w:r>
        <w:t xml:space="preserve">5. Data processing</w:t>
      </w:r>
    </w:p>
    <w:p>
      <w:r>
        <w:t xml:space="preserve">The cloud component may require a data processing addendum; the desktop licence does not by itself establish hosted processing.</w:t>
      </w:r>
    </w:p>
    <w:p>
      <w:pPr>
        <w:pStyle w:val="Heading2"/>
      </w:pPr>
      <w:r>
        <w:t xml:space="preserve">6. Applicable terms</w:t>
      </w:r>
    </w:p>
    <w:p>
      <w:r>
        <w:t xml:space="preserve">Fictional Desktop Licence Terms DEMO-01 and Hosted DAST Terms DEMO-01 are proposed companion documents.</w:t>
      </w:r>
    </w:p>
    <w:p>
      <w:pPr>
        <w:pStyle w:val="Heading2"/>
      </w:pPr>
      <w:r>
        <w:t xml:space="preserve">7. Order precedence</w:t>
      </w:r>
    </w:p>
    <w:p>
      <w:r>
        <w:t xml:space="preserve">A change to one component does not silently amend the rights or obligations of the other.</w:t>
      </w:r>
    </w:p>
    <w:p>
      <w:pPr>
        <w:pStyle w:val="Heading2"/>
      </w:pPr>
      <w:r>
        <w:t xml:space="preserve">8. Variations</w:t>
      </w:r>
    </w:p>
    <w:p>
      <w:r>
        <w:t xml:space="preserve">Cross-product data-sharing, bundled liability, cancellation and renewal changes require case-specific review.</w:t>
      </w:r>
    </w:p>
    <w:p>
      <w:pPr>
        <w:pStyle w:val="Caption"/>
      </w:pPr>
      <w:r>
        <w:t xml:space="preserve">Review note: Customer identity, authority, order quantities, companion terms and commercial circumstances still require human confirmation.</w:t>
      </w:r>
    </w:p>
    <w:sectPr>
      <w:pgSz w:w="12240" w:h="15840"/>
      <w:pgMar w:top="850" w:right="1020" w:bottom="850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20"/>
      </w:rPr>
    </w:rPrDefault>
    <w:pPrDefault>
      <w:pPr>
        <w:spacing w:after="110"/>
      </w:pPr>
    </w:pPrDefault>
  </w:docDefaults>
  <w:style w:type="paragraph" w:default="1" w:styleId="Normal">
    <w:name w:val="Normal"/>
  </w:style>
  <w:style w:type="paragraph" w:styleId="Title">
    <w:name w:val="Title"/>
    <w:pPr>
      <w:spacing w:after="160"/>
    </w:pPr>
    <w:rPr>
      <w:b/>
      <w:sz w:val="29"/>
    </w:rPr>
  </w:style>
  <w:style w:type="paragraph" w:styleId="Heading2">
    <w:name w:val="Heading 2"/>
    <w:pPr>
      <w:spacing w:before="120" w:after="40"/>
    </w:pPr>
    <w:rPr>
      <w:b/>
      <w:sz w:val="22"/>
    </w:rPr>
  </w:style>
  <w:style w:type="paragraph" w:styleId="Caption">
    <w:name w:val="Caption"/>
    <w:rPr>
      <w:color w:val="67778A"/>
      <w:sz w:val="1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