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Juniper Labs Ltd — Customer Order — Desktop user licences (direct)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C010 | Received: 13 October 2026</w:t>
      </w:r>
    </w:p>
    <w:p>
      <w:r>
        <w:t xml:space="preserve">Counterparty: Juniper Labs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order for desktop software seats</w:t>
      </w:r>
    </w:p>
    <w:p>
      <w:r>
        <w:t xml:space="preserve">Standard family: Customer Order — Desktop user licences (direct) | Proposed reference: ORDER-PRO-DIRECT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Subscription for 12 named desktop software users, for internal security testing by the customer.</w:t>
      </w:r>
    </w:p>
    <w:p>
      <w:pPr>
        <w:pStyle w:val="Heading2"/>
      </w:pPr>
      <w:r>
        <w:t xml:space="preserve">2. Subscription</w:t>
      </w:r>
    </w:p>
    <w:p>
      <w:r>
        <w:t xml:space="preserve">Initial period: 12 months. Renewal requires confirmation against the customer’s then-current agreement and selected product terms.</w:t>
      </w:r>
    </w:p>
    <w:p>
      <w:pPr>
        <w:pStyle w:val="Heading2"/>
      </w:pPr>
      <w:r>
        <w:t xml:space="preserve">3. Charges</w:t>
      </w:r>
    </w:p>
    <w:p>
      <w:r>
        <w:t xml:space="preserve">Illustrative subscription fee: GBP 3,600 total, payable in advance, plus applicable taxes.</w:t>
      </w:r>
    </w:p>
    <w:p>
      <w:pPr>
        <w:pStyle w:val="Heading2"/>
      </w:pPr>
      <w:r>
        <w:t xml:space="preserve">4. User entitlement</w:t>
      </w:r>
    </w:p>
    <w:p>
      <w:r>
        <w:t xml:space="preserve">Each active user requires an assigned licence. Sharing a single seat between multiple users is outside the chosen order terms.</w:t>
      </w:r>
    </w:p>
    <w:p>
      <w:pPr>
        <w:pStyle w:val="Heading2"/>
      </w:pPr>
      <w:r>
        <w:t xml:space="preserve">5. Customer responsibilities</w:t>
      </w:r>
    </w:p>
    <w:p>
      <w:r>
        <w:t xml:space="preserve">The customer ensures users test only systems for which they have appropriate authorisation.</w:t>
      </w:r>
    </w:p>
    <w:p>
      <w:pPr>
        <w:pStyle w:val="Heading2"/>
      </w:pPr>
      <w:r>
        <w:t xml:space="preserve">6. Applicable terms</w:t>
      </w:r>
    </w:p>
    <w:p>
      <w:r>
        <w:t xml:space="preserve">The fictional Northbridge Desktop Licence Terms, revision DEMO-01, are referenced solely as illustrative companion terms.</w:t>
      </w:r>
    </w:p>
    <w:p>
      <w:pPr>
        <w:pStyle w:val="Heading2"/>
      </w:pPr>
      <w:r>
        <w:t xml:space="preserve">7. Change control</w:t>
      </w:r>
    </w:p>
    <w:p>
      <w:r>
        <w:t xml:space="preserve">Any change to seats, term, fees or licence grant requires a documented, separately reviewed amendment.</w:t>
      </w:r>
    </w:p>
    <w:p>
      <w:pPr>
        <w:pStyle w:val="Heading2"/>
      </w:pPr>
      <w:r>
        <w:t xml:space="preserve">8. Conflict and approval</w:t>
      </w:r>
    </w:p>
    <w:p>
      <w:r>
        <w:t xml:space="preserve">Order-specific variations are effective only where expressly approved by the appropriate contracting authority.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