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H02  |  Synthetic demonstration material</w:t>
      </w:r>
    </w:p>
    <w:p>
      <w:pPr>
        <w:pStyle w:val="Heading2"/>
      </w:pPr>
      <w:r>
        <w:t>1. Parties and Purpose</w:t>
      </w:r>
    </w:p>
    <w:p>
      <w:r>
        <w:t>This Mutual Non-Disclosure Agreement is made between Cedar Labs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five years from each disclosure; trade secrets remain protected while they remain trade secrets.</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Cedar Labs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