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T03  |  Synthetic demonstration material</w:t>
      </w:r>
    </w:p>
    <w:p>
      <w:pPr>
        <w:pStyle w:val="Heading2"/>
      </w:pPr>
      <w:r>
        <w:t>1. Parties and Purpose</w:t>
      </w:r>
    </w:p>
    <w:p>
      <w:r>
        <w:t>This Mutual Non-Disclosure Agreement is made between Falcon Data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r>
        <w:t>Notwithstanding any other provision, the receiving party may retain and commercially exploit all technical concepts, know-how and ideas disclosed under this Agreement without restriction or further consent.</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Falcon Data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legal workflow fixture • No real parties or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