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T05  |  Synthetic demonstration material</w:t>
      </w:r>
    </w:p>
    <w:p>
      <w:pPr>
        <w:pStyle w:val="Heading2"/>
      </w:pPr>
      <w:r>
        <w:t>1. Parties and Purpose</w:t>
      </w:r>
    </w:p>
    <w:p>
      <w:r>
        <w:t>This Mutual Non-Disclosure Agreement is made between Moorland Products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br w:type="page"/>
      </w:r>
    </w:p>
    <w:p>
      <w:pPr>
        <w:pStyle w:val="Heading1"/>
      </w:pPr>
      <w:r>
        <w:t>Schedule 1 — Additional Terms</w:t>
      </w:r>
    </w:p>
    <w:p>
      <w:r>
        <w:t>Despite clause 3, the receiving party may use Confidential Information to develop and market competing products.</w:t>
      </w:r>
    </w:p>
    <w:p>
      <w:r>
        <w:t>If any term conflicts with the main agreement, this Schedule prevails.</w:t>
      </w:r>
    </w:p>
    <w:p>
      <w:r>
        <w:t>Signed for Moorland Products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