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DeltaWorks Consulting Ltd — Mutual NDA — Supplier assessment (UK)</w:t>
      </w:r>
    </w:p>
    <w:p>
      <w:pPr>
        <w:pStyle w:val="Caption"/>
      </w:pPr>
      <w:r>
        <w:t xml:space="preserve">SYNTHETIC CLIENT CONTRACT  ·  DEMONSTRATION ONLY</w:t>
      </w:r>
    </w:p>
    <w:p>
      <w:r>
        <w:t xml:space="preserve">Document ID: C004 | Received: 13 October 2026</w:t>
      </w:r>
    </w:p>
    <w:p>
      <w:r>
        <w:t xml:space="preserve">Counterparty: DeltaWorks Consulting Ltd (fictional)</w:t>
      </w:r>
    </w:p>
    <w:p>
      <w:r>
        <w:t xml:space="preserve">Provider / discloser: Northbridge Security Tools Ltd (fictional)</w:t>
      </w:r>
    </w:p>
    <w:p>
      <w:r>
        <w:t xml:space="preserve">Agreement context: Reciprocal disclosure solely for procurement and security due diligence</w:t>
      </w:r>
    </w:p>
    <w:p>
      <w:r>
        <w:t xml:space="preserve">Standard family: Mutual NDA — Supplier assessment (UK) | Proposed reference: NDA-UK-SUPPLIER</w:t>
      </w:r>
    </w:p>
    <w:p>
      <w:pPr>
        <w:pStyle w:val="Caption"/>
      </w:pPr>
      <w:r>
        <w:t xml:space="preserve">This is a fictional incoming agreement for matching and reviewer-workflow tests. Its clauses have not been approved by legal counsel. Identical model wording is not proof of legal suitability.</w:t>
      </w:r>
    </w:p>
    <w:p>
      <w:pPr>
        <w:pStyle w:val="Heading2"/>
      </w:pPr>
      <w:r>
        <w:t xml:space="preserve">1. Purpose</w:t>
      </w:r>
    </w:p>
    <w:p>
      <w:r>
        <w:t xml:space="preserve">The parties may share confidential information only for supplier due diligence, security assessment and procurement discussions.</w:t>
      </w:r>
    </w:p>
    <w:p>
      <w:pPr>
        <w:pStyle w:val="Heading2"/>
      </w:pPr>
      <w:r>
        <w:t xml:space="preserve">2. Confidential information</w:t>
      </w:r>
    </w:p>
    <w:p>
      <w:r>
        <w:t xml:space="preserve">Protected material may include audit summaries, security questionnaires, policies, forecasts, architecture information and confidential commercial responses.</w:t>
      </w:r>
    </w:p>
    <w:p>
      <w:pPr>
        <w:pStyle w:val="Heading2"/>
      </w:pPr>
      <w:r>
        <w:t xml:space="preserve">3. Recipients</w:t>
      </w:r>
    </w:p>
    <w:p>
      <w:r>
        <w:t xml:space="preserve">Only named evaluation personnel and professional advisers with a genuine need to know may receive the information.</w:t>
      </w:r>
    </w:p>
    <w:p>
      <w:pPr>
        <w:pStyle w:val="Heading2"/>
      </w:pPr>
      <w:r>
        <w:t xml:space="preserve">4. Security material</w:t>
      </w:r>
    </w:p>
    <w:p>
      <w:r>
        <w:t xml:space="preserve">Information about vulnerabilities, incidents or safeguards must not be disclosed publicly or used to test systems without separately documented permission.</w:t>
      </w:r>
    </w:p>
    <w:p>
      <w:pPr>
        <w:pStyle w:val="Heading2"/>
      </w:pPr>
      <w:r>
        <w:t xml:space="preserve">5. Retention</w:t>
      </w:r>
    </w:p>
    <w:p>
      <w:r>
        <w:t xml:space="preserve">Information is deleted within thirty days of a written request, except limited evidence held for legal, compliance or audit purposes with access restrictions.</w:t>
      </w:r>
    </w:p>
    <w:p>
      <w:pPr>
        <w:pStyle w:val="Heading2"/>
      </w:pPr>
      <w:r>
        <w:t xml:space="preserve">6. Duration</w:t>
      </w:r>
    </w:p>
    <w:p>
      <w:r>
        <w:t xml:space="preserve">This agreement lasts eighteen months and confidentiality continues for four years after the last disclosure.</w:t>
      </w:r>
    </w:p>
    <w:p>
      <w:pPr>
        <w:pStyle w:val="Heading2"/>
      </w:pPr>
      <w:r>
        <w:t xml:space="preserve">7. No licence or mandate</w:t>
      </w:r>
    </w:p>
    <w:p>
      <w:r>
        <w:t xml:space="preserve">No rights to deploy, resell or test software, and no procurement commitment, are created.</w:t>
      </w:r>
    </w:p>
    <w:p>
      <w:pPr>
        <w:pStyle w:val="Heading2"/>
      </w:pPr>
      <w:r>
        <w:t xml:space="preserve">8. Governing law</w:t>
      </w:r>
    </w:p>
    <w:p>
      <w:r>
        <w:t xml:space="preserve">England and Wales.</w:t>
      </w:r>
    </w:p>
    <w:p>
      <w:pPr>
        <w:pStyle w:val="Caption"/>
      </w:pPr>
      <w:r>
        <w:t xml:space="preserve">Review note: Customer identity, authority, order quantities, companion terms and commercial circumstances still require human confirmation.</w:t>
      </w:r>
    </w:p>
    <w:sectPr>
      <w:pgSz w:w="12240" w:h="15840"/>
      <w:pgMar w:top="850" w:right="1020" w:bottom="850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ptos" w:hAnsi="Aptos"/>
        <w:sz w:val="20"/>
      </w:rPr>
    </w:rPrDefault>
    <w:pPrDefault>
      <w:pPr>
        <w:spacing w:after="110"/>
      </w:pPr>
    </w:pPrDefault>
  </w:docDefaults>
  <w:style w:type="paragraph" w:default="1" w:styleId="Normal">
    <w:name w:val="Normal"/>
  </w:style>
  <w:style w:type="paragraph" w:styleId="Title">
    <w:name w:val="Title"/>
    <w:pPr>
      <w:spacing w:after="160"/>
    </w:pPr>
    <w:rPr>
      <w:b/>
      <w:sz w:val="29"/>
    </w:rPr>
  </w:style>
  <w:style w:type="paragraph" w:styleId="Heading2">
    <w:name w:val="Heading 2"/>
    <w:pPr>
      <w:spacing w:before="120" w:after="40"/>
    </w:pPr>
    <w:rPr>
      <w:b/>
      <w:sz w:val="22"/>
    </w:rPr>
  </w:style>
  <w:style w:type="paragraph" w:styleId="Caption">
    <w:name w:val="Caption"/>
    <w:rPr>
      <w:color w:val="67778A"/>
      <w:sz w:val="18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/Relationships>
</file>