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Maplebrook Software Ltd — Customer Order — Managed cloud scanning</w:t>
      </w:r>
    </w:p>
    <w:p>
      <w:pPr>
        <w:pStyle w:val="Caption"/>
      </w:pPr>
      <w:r>
        <w:t xml:space="preserve">SYNTHETIC CLIENT CONTRACT  ·  DEMONSTRATION ONLY</w:t>
      </w:r>
    </w:p>
    <w:p>
      <w:r>
        <w:t xml:space="preserve">Document ID: C013 | Received: 13 October 2026</w:t>
      </w:r>
    </w:p>
    <w:p>
      <w:r>
        <w:t xml:space="preserve">Counterparty: Maplebrook Software Ltd (fictional)</w:t>
      </w:r>
    </w:p>
    <w:p>
      <w:r>
        <w:t xml:space="preserve">Provider / discloser: Northbridge Security Tools Ltd (fictional)</w:t>
      </w:r>
    </w:p>
    <w:p>
      <w:r>
        <w:t xml:space="preserve">Agreement context: Direct vendor-hosted scanning subscription</w:t>
      </w:r>
    </w:p>
    <w:p>
      <w:r>
        <w:t xml:space="preserve">Standard family: Customer Order — Managed cloud scanning | Proposed reference: ORDER-DAST-CLOUD</w:t>
      </w:r>
    </w:p>
    <w:p>
      <w:pPr>
        <w:pStyle w:val="Caption"/>
      </w:pPr>
      <w:r>
        <w:t xml:space="preserve">This is a fictional incoming agreement for matching and reviewer-workflow tests. Its clauses have not been approved by legal counsel. Identical model wording is not proof of legal suitability.</w:t>
      </w:r>
    </w:p>
    <w:p>
      <w:pPr>
        <w:pStyle w:val="Heading2"/>
      </w:pPr>
      <w:r>
        <w:t xml:space="preserve">1. Order scope</w:t>
      </w:r>
    </w:p>
    <w:p>
      <w:r>
        <w:t xml:space="preserve">Managed cloud scanning subscription for the customer’s authorised web application testing programme.</w:t>
      </w:r>
    </w:p>
    <w:p>
      <w:pPr>
        <w:pStyle w:val="Heading2"/>
      </w:pPr>
      <w:r>
        <w:t xml:space="preserve">2. Deployment</w:t>
      </w:r>
    </w:p>
    <w:p>
      <w:r>
        <w:t xml:space="preserve">The scanning dashboard is vendor-hosted; permitted scanning targets, agents, and data boundaries are set out in a separate configuration schedule.</w:t>
      </w:r>
    </w:p>
    <w:p>
      <w:pPr>
        <w:pStyle w:val="Heading2"/>
      </w:pPr>
      <w:r>
        <w:t xml:space="preserve">3. Subscription</w:t>
      </w:r>
    </w:p>
    <w:p>
      <w:r>
        <w:t xml:space="preserve">Initial period: 12 months; service capacity: 10 concurrent scheduled scanning jobs as an illustrative allocation.</w:t>
      </w:r>
    </w:p>
    <w:p>
      <w:pPr>
        <w:pStyle w:val="Heading2"/>
      </w:pPr>
      <w:r>
        <w:t xml:space="preserve">4. Charges</w:t>
      </w:r>
    </w:p>
    <w:p>
      <w:r>
        <w:t xml:space="preserve">Illustrative fee: GBP 14,400 for year one, payable quarterly in advance, plus taxes.</w:t>
      </w:r>
    </w:p>
    <w:p>
      <w:pPr>
        <w:pStyle w:val="Heading2"/>
      </w:pPr>
      <w:r>
        <w:t xml:space="preserve">5. Data handling</w:t>
      </w:r>
    </w:p>
    <w:p>
      <w:r>
        <w:t xml:space="preserve">Where personal data is processed on the customer’s behalf, an applicable data processing addendum and security schedule must be reviewed.</w:t>
      </w:r>
    </w:p>
    <w:p>
      <w:pPr>
        <w:pStyle w:val="Heading2"/>
      </w:pPr>
      <w:r>
        <w:t xml:space="preserve">6. Authorised scanning</w:t>
      </w:r>
    </w:p>
    <w:p>
      <w:r>
        <w:t xml:space="preserve">Customer represents that each proposed target is within its authorised security testing scope.</w:t>
      </w:r>
    </w:p>
    <w:p>
      <w:pPr>
        <w:pStyle w:val="Heading2"/>
      </w:pPr>
      <w:r>
        <w:t xml:space="preserve">7. Applicable terms</w:t>
      </w:r>
    </w:p>
    <w:p>
      <w:r>
        <w:t xml:space="preserve">Fictional Northbridge Hosted DAST Terms DEMO-01 and any specifically identified schedules apply.</w:t>
      </w:r>
    </w:p>
    <w:p>
      <w:pPr>
        <w:pStyle w:val="Heading2"/>
      </w:pPr>
      <w:r>
        <w:t xml:space="preserve">8. Variations</w:t>
      </w:r>
    </w:p>
    <w:p>
      <w:r>
        <w:t xml:space="preserve">Changes to hosting region, data retention, service commitments, liability, or security obligations require express review.</w:t>
      </w:r>
    </w:p>
    <w:p>
      <w:pPr>
        <w:pStyle w:val="Caption"/>
      </w:pPr>
      <w:r>
        <w:t xml:space="preserve">Review note: Customer identity, authority, order quantities, companion terms and commercial circumstances still require human confirmation.</w:t>
      </w:r>
    </w:p>
    <w:sectPr>
      <w:pgSz w:w="12240" w:h="15840"/>
      <w:pgMar w:top="850" w:right="1020" w:bottom="850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</w:rPr>
    </w:rPrDefault>
    <w:pPrDefault>
      <w:pPr>
        <w:spacing w:after="110"/>
      </w:pPr>
    </w:pPrDefault>
  </w:docDefaults>
  <w:style w:type="paragraph" w:default="1" w:styleId="Normal">
    <w:name w:val="Normal"/>
  </w:style>
  <w:style w:type="paragraph" w:styleId="Title">
    <w:name w:val="Title"/>
    <w:pPr>
      <w:spacing w:after="160"/>
    </w:pPr>
    <w:rPr>
      <w:b/>
      <w:sz w:val="29"/>
    </w:rPr>
  </w:style>
  <w:style w:type="paragraph" w:styleId="Heading2">
    <w:name w:val="Heading 2"/>
    <w:pPr>
      <w:spacing w:before="120" w:after="40"/>
    </w:pPr>
    <w:rPr>
      <w:b/>
      <w:sz w:val="22"/>
    </w:rPr>
  </w:style>
  <w:style w:type="paragraph" w:styleId="Caption">
    <w:name w:val="Caption"/>
    <w:rPr>
      <w:color w:val="67778A"/>
      <w:sz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