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T01  |  Synthetic demonstration material</ns0:t>
      </ns0:r>
    </ns0:p>
    <ns0:p>
      <ns0:pPr>
        <ns0:pStyle ns0:val="Heading2"/>
      </ns0:pPr>
      <ns0:r>
        <ns0:t>1. Parties and Purpose</ns0:t>
      </ns0:r>
    </ns0:p>
    <ns0:p>
      <ns0:r>
        <ns0:t>This Mutual Non-Disclosure Agreement is made between Birchbridge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shall not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archival copy retained for legal compliance and routine backups subject to continuing confidentiality.</ns0:t>
      </ns0:r>
    </ns0:p>
    <ns0:p>
      <ns0:pPr>
        <ns0:pStyle ns0:val="Heading2"/>
      </ns0:pPr>
      <ns0:r>
        <ns0:t>9. No Licence</ns0:t>
      </ns0:r>
    </ns0:p>
    <ns0:p>
      <ns0:r>
        <ns0:rPr>
          <ns0:strike/>
        </ns0:rPr>
        <ns0:t>No intellectual property licence or other right is granted by disclosure except the limited right to use Confidential Information for the Purpose.</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Birchbridge Ltd: ____________________    Signed for Northbridge Systems Ltd: ____________________</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