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Mutual NDA — Supplier assessment (UK)</w:t>
      </w:r>
    </w:p>
    <w:p>
      <w:r>
        <w:t xml:space="preserve">REFERENCE CANDIDATE  ·  NOT APPROVED LEGAL WORDING</w:t>
      </w:r>
    </w:p>
    <w:p>
      <w:r>
        <w:t xml:space="preserve">Record: NDA-UK-SUPPLIER</w:t>
      </w:r>
    </w:p>
    <w:p>
      <w:r>
        <w:t xml:space="preserve">Parties: Northbridge Security Tools Ltd (fictional)  /  Sample Customer Ltd (fictional)</w:t>
      </w:r>
    </w:p>
    <w:p>
      <w:r>
        <w:t xml:space="preserve">Use: Assess a potential supplier, procurement process or service provider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Purpose</w:t>
      </w:r>
    </w:p>
    <w:p>
      <w:r>
        <w:t xml:space="preserve">The parties may share confidential information only for supplier due diligence, security assessment and procurement discussions.</w:t>
      </w:r>
    </w:p>
    <w:p>
      <w:pPr>
        <w:pStyle w:val="Heading2"/>
      </w:pPr>
      <w:r>
        <w:t xml:space="preserve">2. Confidential information</w:t>
      </w:r>
    </w:p>
    <w:p>
      <w:r>
        <w:t xml:space="preserve">Protected material may include audit summaries, security questionnaires, policies, forecasts, architecture information and confidential commercial responses.</w:t>
      </w:r>
    </w:p>
    <w:p>
      <w:pPr>
        <w:pStyle w:val="Heading2"/>
      </w:pPr>
      <w:r>
        <w:t xml:space="preserve">3. Recipients</w:t>
      </w:r>
    </w:p>
    <w:p>
      <w:r>
        <w:t xml:space="preserve">Only named evaluation personnel and professional advisers with a genuine need to know may receive the information.</w:t>
      </w:r>
    </w:p>
    <w:p>
      <w:pPr>
        <w:pStyle w:val="Heading2"/>
      </w:pPr>
      <w:r>
        <w:t xml:space="preserve">4. Security material</w:t>
      </w:r>
    </w:p>
    <w:p>
      <w:r>
        <w:t xml:space="preserve">Information about vulnerabilities, incidents or safeguards must not be disclosed publicly or used to test systems without separately documented permission.</w:t>
      </w:r>
    </w:p>
    <w:p>
      <w:pPr>
        <w:pStyle w:val="Heading2"/>
      </w:pPr>
      <w:r>
        <w:t xml:space="preserve">5. Retention</w:t>
      </w:r>
    </w:p>
    <w:p>
      <w:r>
        <w:t xml:space="preserve">Information is deleted within thirty days of a written request, except limited evidence held for legal, compliance or audit purposes with access restrictions.</w:t>
      </w:r>
    </w:p>
    <w:p>
      <w:pPr>
        <w:pStyle w:val="Heading2"/>
      </w:pPr>
      <w:r>
        <w:t xml:space="preserve">6. Duration</w:t>
      </w:r>
    </w:p>
    <w:p>
      <w:r>
        <w:t xml:space="preserve">This agreement lasts eighteen months and confidentiality continues for four years after the last disclosure.</w:t>
      </w:r>
    </w:p>
    <w:p>
      <w:pPr>
        <w:pStyle w:val="Heading2"/>
      </w:pPr>
      <w:r>
        <w:t xml:space="preserve">7. No licence or mandate</w:t>
      </w:r>
    </w:p>
    <w:p>
      <w:r>
        <w:t xml:space="preserve">No rights to deploy, resell or test software, and no procurement commitment, are created.</w:t>
      </w:r>
    </w:p>
    <w:p>
      <w:pPr>
        <w:pStyle w:val="Heading2"/>
      </w:pPr>
      <w:r>
        <w:t xml:space="preserve">8. Governing law</w:t>
      </w:r>
    </w:p>
    <w:p>
      <w:r>
        <w:t xml:space="preserve">England and Wales.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