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Customer Order — Desktop plus cloud bundle</w:t>
      </w:r>
    </w:p>
    <w:p>
      <w:r>
        <w:t xml:space="preserve">REFERENCE CANDIDATE  ·  NOT APPROVED LEGAL WORDING</w:t>
      </w:r>
    </w:p>
    <w:p>
      <w:r>
        <w:t xml:space="preserve">Record: ORDER-COMBINED</w:t>
      </w:r>
    </w:p>
    <w:p>
      <w:r>
        <w:t xml:space="preserve">Parties: Northbridge Security Tools Ltd (fictional)  /  Sample Customer Ltd (fictional)</w:t>
      </w:r>
    </w:p>
    <w:p>
      <w:r>
        <w:t xml:space="preserve">Use: Northbridge Toolkit Pro + Northbridge DAST Cloud</w:t>
      </w:r>
    </w:p>
    <w:p>
      <w:r>
        <w:t xml:space="preserve">Reference version: DEMO-0.1</w:t>
      </w:r>
    </w:p>
    <w:p>
      <w:r>
        <w:t xml:space="preserve">Illustrative document structure only. It is not a contract offered by PortSwigger or a legally approved template.</w:t>
      </w:r>
    </w:p>
    <w:p>
      <w:pPr>
        <w:pStyle w:val="Heading2"/>
      </w:pPr>
      <w:r>
        <w:t xml:space="preserve">1. Order scope</w:t>
      </w:r>
    </w:p>
    <w:p>
      <w:r>
        <w:t xml:space="preserve">Combined order covering 20 named desktop licences and a vendor-managed application scanning service.</w:t>
      </w:r>
    </w:p>
    <w:p>
      <w:pPr>
        <w:pStyle w:val="Heading2"/>
      </w:pPr>
      <w:r>
        <w:t xml:space="preserve">2. Components</w:t>
      </w:r>
    </w:p>
    <w:p>
      <w:r>
        <w:t xml:space="preserve">Desktop rights remain restricted to named users; cloud scanning usage and service limits are specified separately.</w:t>
      </w:r>
    </w:p>
    <w:p>
      <w:pPr>
        <w:pStyle w:val="Heading2"/>
      </w:pPr>
      <w:r>
        <w:t xml:space="preserve">3. Subscription</w:t>
      </w:r>
    </w:p>
    <w:p>
      <w:r>
        <w:t xml:space="preserve">Both components run for a 12-month initial term, with component-specific amendments tracked separately.</w:t>
      </w:r>
    </w:p>
    <w:p>
      <w:pPr>
        <w:pStyle w:val="Heading2"/>
      </w:pPr>
      <w:r>
        <w:t xml:space="preserve">4. Charges</w:t>
      </w:r>
    </w:p>
    <w:p>
      <w:r>
        <w:t xml:space="preserve">Illustrative fees: GBP 5,800 desktop component and GBP 10,800 cloud component, paid in advance.</w:t>
      </w:r>
    </w:p>
    <w:p>
      <w:pPr>
        <w:pStyle w:val="Heading2"/>
      </w:pPr>
      <w:r>
        <w:t xml:space="preserve">5. Data processing</w:t>
      </w:r>
    </w:p>
    <w:p>
      <w:r>
        <w:t xml:space="preserve">The cloud component may require a data processing addendum; the desktop licence does not by itself establish hosted processing.</w:t>
      </w:r>
    </w:p>
    <w:p>
      <w:pPr>
        <w:pStyle w:val="Heading2"/>
      </w:pPr>
      <w:r>
        <w:t xml:space="preserve">6. Applicable terms</w:t>
      </w:r>
    </w:p>
    <w:p>
      <w:r>
        <w:t xml:space="preserve">Fictional Desktop Licence Terms DEMO-01 and Hosted DAST Terms DEMO-01 are proposed companion documents.</w:t>
      </w:r>
    </w:p>
    <w:p>
      <w:pPr>
        <w:pStyle w:val="Heading2"/>
      </w:pPr>
      <w:r>
        <w:t xml:space="preserve">7. Order precedence</w:t>
      </w:r>
    </w:p>
    <w:p>
      <w:r>
        <w:t xml:space="preserve">A change to one component does not silently amend the rights or obligations of the other.</w:t>
      </w:r>
    </w:p>
    <w:p>
      <w:pPr>
        <w:pStyle w:val="Heading2"/>
      </w:pPr>
      <w:r>
        <w:t xml:space="preserve">8. Variations</w:t>
      </w:r>
    </w:p>
    <w:p>
      <w:r>
        <w:t xml:space="preserve">Cross-product data-sharing, bundled liability, cancellation and renewal changes require case-specific review.</w:t>
      </w:r>
    </w:p>
    <w:p>
      <w:r>
        <w:t xml:space="preserve">Demonstration note: Review reference applicability, complete companion terms, missing schedules and authority before any legal or commercial decision.</w:t>
      </w:r>
    </w:p>
    <w:sectPr>
      <w:pgSz w:w="12240" w:h="15840"/>
      <w:pgMar w:top="900" w:right="1080" w:bottom="90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</w:rPr>
    </w:rPrDefault>
    <w:pPrDefault>
      <w:pPr>
        <w:spacing w:after="100"/>
      </w:pPr>
    </w:pPrDefault>
  </w:docDefaults>
  <w:style w:type="paragraph" w:default="1" w:styleId="Normal">
    <w:name w:val="Normal"/>
  </w:style>
  <w:style w:type="paragraph" w:styleId="Title">
    <w:name w:val="Title"/>
    <w:pPr>
      <w:spacing w:after="180"/>
    </w:pPr>
    <w:rPr>
      <w:b/>
      <w:sz w:val="32"/>
    </w:rPr>
  </w:style>
  <w:style w:type="paragraph" w:styleId="Heading2">
    <w:name w:val="Heading 2"/>
    <w:pPr>
      <w:spacing w:before="160" w:after="50"/>
    </w:pPr>
    <w:rPr>
      <w:b/>
      <w:sz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