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Birchstone Analytics Ltd — Mutual NDA — Product evaluation (UK)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C002 | Received: 13 October 2026</w:t>
      </w:r>
    </w:p>
    <w:p>
      <w:r>
        <w:t xml:space="preserve">Counterparty: Birchstone Analytics Ltd (fictional)</w:t>
      </w:r>
    </w:p>
    <w:p>
      <w:r>
        <w:t xml:space="preserve">Provider / discloser: Northbridge Security Tools Ltd (fictional)</w:t>
      </w:r>
    </w:p>
    <w:p>
      <w:r>
        <w:t xml:space="preserve">Agreement context: Mutual exchange of confidential information for evaluation of software</w:t>
      </w:r>
    </w:p>
    <w:p>
      <w:r>
        <w:t xml:space="preserve">Standard family: Mutual NDA — Product evaluation (UK) | Proposed reference: NDA-UK-EVAL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Purpose</w:t>
      </w:r>
    </w:p>
    <w:p>
      <w:r>
        <w:t xml:space="preserve">Both parties may exchange confidential information solely to assess a possible software subscription or technical integration. Neither may use it for a different commercial purpose.</w:t>
      </w:r>
    </w:p>
    <w:p>
      <w:pPr>
        <w:pStyle w:val="Heading2"/>
      </w:pPr>
      <w:r>
        <w:t xml:space="preserve">2. Confidential information</w:t>
      </w:r>
    </w:p>
    <w:p>
      <w:r>
        <w:t xml:space="preserve">Confidential information includes non-public technical material, pricing, proposals, demonstrations and business plans, whether marked confidential or reasonably understood to be sensitive.</w:t>
      </w:r>
    </w:p>
    <w:p>
      <w:pPr>
        <w:pStyle w:val="Heading2"/>
      </w:pPr>
      <w:r>
        <w:t xml:space="preserve">3. Permitted disclosure</w:t>
      </w:r>
    </w:p>
    <w:p>
      <w:r>
        <w:t xml:space="preserve">Information may be shared only with staff and professional advisers who need it for the evaluation and are subject to confidentiality duties.</w:t>
      </w:r>
    </w:p>
    <w:p>
      <w:pPr>
        <w:pStyle w:val="Heading2"/>
      </w:pPr>
      <w:r>
        <w:t xml:space="preserve">4. Excluded information</w:t>
      </w:r>
    </w:p>
    <w:p>
      <w:r>
        <w:t xml:space="preserve">Information already public, independently developed without using the disclosed information, or lawfully received without a confidentiality obligation is excluded.</w:t>
      </w:r>
    </w:p>
    <w:p>
      <w:pPr>
        <w:pStyle w:val="Heading2"/>
      </w:pPr>
      <w:r>
        <w:t xml:space="preserve">5. Security and return</w:t>
      </w:r>
    </w:p>
    <w:p>
      <w:r>
        <w:t xml:space="preserve">Each recipient uses reasonable organisational and technical care. At the discloser’s request, the recipient returns or deletes evaluation copies, except legally required archives with restricted access.</w:t>
      </w:r>
    </w:p>
    <w:p>
      <w:pPr>
        <w:pStyle w:val="Heading2"/>
      </w:pPr>
      <w:r>
        <w:t xml:space="preserve">6. Duration</w:t>
      </w:r>
    </w:p>
    <w:p>
      <w:r>
        <w:t xml:space="preserve">This agreement lasts two years; confidentiality duties continue for three years after disclosure, except legally protected trade secrets while they remain protected.</w:t>
      </w:r>
    </w:p>
    <w:p>
      <w:pPr>
        <w:pStyle w:val="Heading2"/>
      </w:pPr>
      <w:r>
        <w:t xml:space="preserve">7. No licence</w:t>
      </w:r>
    </w:p>
    <w:p>
      <w:r>
        <w:t xml:space="preserve">Nothing grants a software, intellectual property or commercial-use licence beyond evaluation.</w:t>
      </w:r>
    </w:p>
    <w:p>
      <w:pPr>
        <w:pStyle w:val="Heading2"/>
      </w:pPr>
      <w:r>
        <w:t xml:space="preserve">8. Governing law</w:t>
      </w:r>
    </w:p>
    <w:p>
      <w:r>
        <w:t xml:space="preserve">England and Wales; disputes are referred to the courts with appropriate jurisdiction.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