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Harbourlight Systems Ltd — One-way NDA — Customer disclosures (UK)</w:t>
      </w:r>
    </w:p>
    <w:p>
      <w:pPr>
        <w:pStyle w:val="Caption"/>
      </w:pPr>
      <w:r>
        <w:t xml:space="preserve">SYNTHETIC CLIENT CONTRACT · DEMONSTRATION ONLY</w:t>
      </w:r>
    </w:p>
    <w:p>
      <w:r>
        <w:t xml:space="preserve">Document ID: C008 | Received: 13 October 2026</w:t>
      </w:r>
    </w:p>
    <w:p>
      <w:r>
        <w:t xml:space="preserve">Counterparty: Harbourlight Systems Ltd (fictional)</w:t>
      </w:r>
    </w:p>
    <w:p>
      <w:r>
        <w:t xml:space="preserve">Provider / discloser: Northbridge Security Tools Ltd (fictional)</w:t>
      </w:r>
    </w:p>
    <w:p>
      <w:r>
        <w:t xml:space="preserve">Agreement context: One-way protection for product information disclosed to a prospective customer</w:t>
      </w:r>
    </w:p>
    <w:p>
      <w:r>
        <w:t xml:space="preserve">Standard family: One-way NDA — Customer disclosures (UK) | Proposed reference: NDA-UK-ONEWAY</w:t>
      </w:r>
    </w:p>
    <w:p>
      <w:pPr>
        <w:pStyle w:val="Caption"/>
      </w:pPr>
      <w:r>
        <w:t xml:space="preserve">This is a fictional incoming agreement for matching and reviewer-workflow tests. Its clauses have not been approved by legal counsel. Identical model wording is not proof of legal suitability.</w:t>
      </w:r>
    </w:p>
    <w:p>
      <w:pPr>
        <w:pStyle w:val="Heading2"/>
      </w:pPr>
      <w:r>
        <w:t xml:space="preserve">1. Disclosing party</w:t>
      </w:r>
    </w:p>
    <w:p>
      <w:r>
        <w:t xml:space="preserve">Northbridge Security Tools Ltd (fictional) is the Disclosing Party and Harbourlight Systems Ltd (fictional) is the Receiving Party for this demonstration.</w:t>
      </w:r>
    </w:p>
    <w:p>
      <w:pPr>
        <w:pStyle w:val="Heading2"/>
      </w:pPr>
      <w:r>
        <w:t xml:space="preserve">2. Purpose</w:t>
      </w:r>
    </w:p>
    <w:p>
      <w:r>
        <w:t xml:space="preserve">The Disclosing Party shares confidential product information solely for the recipient to decide whether to enter a commercial relationship.</w:t>
      </w:r>
    </w:p>
    <w:p>
      <w:pPr>
        <w:pStyle w:val="Heading2"/>
      </w:pPr>
      <w:r>
        <w:t xml:space="preserve">3. Confidential information</w:t>
      </w:r>
    </w:p>
    <w:p>
      <w:r>
        <w:t xml:space="preserve">Protected information includes non-public product details, security descriptions, roadmap ideas, pricing and demonstrations.</w:t>
      </w:r>
    </w:p>
    <w:p>
      <w:pPr>
        <w:pStyle w:val="Heading2"/>
      </w:pPr>
      <w:r>
        <w:t xml:space="preserve">4. Recipient obligations</w:t>
      </w:r>
    </w:p>
    <w:p>
      <w:r>
        <w:t xml:space="preserve">The Receiving Party uses information only for the purpose, protects it with reasonable care and restricts disclosure to employees and advisers with a need to know.</w:t>
      </w:r>
    </w:p>
    <w:p>
      <w:pPr>
        <w:pStyle w:val="Heading2"/>
      </w:pPr>
      <w:r>
        <w:t xml:space="preserve">5. Exclusions</w:t>
      </w:r>
    </w:p>
    <w:p>
      <w:r>
        <w:t xml:space="preserve">Publicly available or independently developed information is excluded if the receiving party can reasonably demonstrate the basis.</w:t>
      </w:r>
    </w:p>
    <w:p>
      <w:pPr>
        <w:pStyle w:val="Heading2"/>
      </w:pPr>
      <w:r>
        <w:t xml:space="preserve">6. Return</w:t>
      </w:r>
    </w:p>
    <w:p>
      <w:r>
        <w:t xml:space="preserve">On written request the recipient deletes evaluation copies, allowing a restricted copy only when legally required.</w:t>
      </w:r>
    </w:p>
    <w:p>
      <w:pPr>
        <w:pStyle w:val="Heading2"/>
      </w:pPr>
      <w:r>
        <w:t xml:space="preserve">7. Term</w:t>
      </w:r>
    </w:p>
    <w:p>
      <w:r>
        <w:t xml:space="preserve">The agreement lasts twelve months, and confidentiality continues for three years after each disclosure.</w:t>
      </w:r>
    </w:p>
    <w:p>
      <w:pPr>
        <w:pStyle w:val="Heading2"/>
      </w:pPr>
      <w:r>
        <w:t xml:space="preserve">8. No licence</w:t>
      </w:r>
    </w:p>
    <w:p>
      <w:r>
        <w:t xml:space="preserve">No intellectual property, reverse-engineering or commercial exploitation right is granted.</w:t>
      </w:r>
    </w:p>
    <w:p>
      <w:pPr>
        <w:pStyle w:val="Heading2"/>
      </w:pPr>
      <w:r>
        <w:t xml:space="preserve">9. Governing law</w:t>
      </w:r>
    </w:p>
    <w:p>
      <w:r>
        <w:t xml:space="preserve">England and Wales.</w:t>
      </w:r>
    </w:p>
    <w:p>
      <w:pPr>
        <w:pStyle w:val="Caption"/>
      </w:pPr>
      <w:r>
        <w:t xml:space="preserve">Review note: Customer identity, authority, order quantities, companion terms and commercial circumstances still require human confirmation.</w:t>
      </w:r>
    </w:p>
    <w:sectPr>
      <w:pgSz w:w="12240" w:h="15840"/>
      <w:pgMar w:top="850" w:bottom="850" w:left="1020" w:right="10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28"/>
    </w:rPr>
  </w:style>
  <w:style w:type="paragraph" w:styleId="Caption">
    <w:name w:val="Caption"/>
    <w:rPr>
      <w:color w:val="667788"/>
      <w:sz w:val="18"/>
    </w:rPr>
  </w:style>
  <w:style w:type="paragraph" w:styleId="Heading2">
    <w:name w:val="Heading 2"/>
    <w:rPr>
      <w:b/>
      <w:sz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