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Rosemere Applications Ltd — Customer Order — Desktop plus cloud bundle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C018 | Received: 13 October 2026</w:t>
      </w:r>
    </w:p>
    <w:p>
      <w:r>
        <w:t xml:space="preserve">Counterparty: Rosemere Applications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combined desktop licence and vendor-cloud scanning order</w:t>
      </w:r>
    </w:p>
    <w:p>
      <w:r>
        <w:t xml:space="preserve">Standard family: Customer Order — Desktop plus cloud bundle | Proposed reference: ORDER-COMBINED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Combined order covering 20 named desktop licences and a vendor-managed application scanning service.</w:t>
      </w:r>
    </w:p>
    <w:p>
      <w:pPr>
        <w:pStyle w:val="Heading2"/>
      </w:pPr>
      <w:r>
        <w:t xml:space="preserve">2. Components</w:t>
      </w:r>
    </w:p>
    <w:p>
      <w:r>
        <w:t xml:space="preserve">Desktop rights remain restricted to named users; cloud scanning usage and service limits are specified separately.</w:t>
      </w:r>
    </w:p>
    <w:p>
      <w:pPr>
        <w:pStyle w:val="Heading2"/>
      </w:pPr>
      <w:r>
        <w:t xml:space="preserve">3. Subscription</w:t>
      </w:r>
    </w:p>
    <w:p>
      <w:r>
        <w:t xml:space="preserve">Both components run for a 12-month initial term, with component-specific amendments tracked separately.</w:t>
      </w:r>
    </w:p>
    <w:p>
      <w:pPr>
        <w:pStyle w:val="Heading2"/>
      </w:pPr>
      <w:r>
        <w:t xml:space="preserve">4. Charges</w:t>
      </w:r>
    </w:p>
    <w:p>
      <w:r>
        <w:t xml:space="preserve">Illustrative fees: GBP 5,800 desktop component and GBP 10,800 cloud component, paid in advance.</w:t>
      </w:r>
    </w:p>
    <w:p>
      <w:pPr>
        <w:pStyle w:val="Heading2"/>
      </w:pPr>
      <w:r>
        <w:t xml:space="preserve">5. Data processing</w:t>
      </w:r>
    </w:p>
    <w:p>
      <w:r>
        <w:t xml:space="preserve">The cloud component may require a data processing addendum; the desktop licence does not by itself establish hosted processing.</w:t>
      </w:r>
    </w:p>
    <w:p>
      <w:pPr>
        <w:pStyle w:val="Heading2"/>
      </w:pPr>
      <w:r>
        <w:t xml:space="preserve">6. Applicable terms</w:t>
      </w:r>
    </w:p>
    <w:p>
      <w:r>
        <w:t xml:space="preserve">Fictional Desktop Licence Terms DEMO-01 and Hosted DAST Terms DEMO-01 are proposed companion documents.</w:t>
      </w:r>
    </w:p>
    <w:p>
      <w:pPr>
        <w:pStyle w:val="Heading2"/>
      </w:pPr>
      <w:r>
        <w:t xml:space="preserve">7. Order precedence</w:t>
      </w:r>
    </w:p>
    <w:p>
      <w:r>
        <w:t xml:space="preserve">A change to one component does not silently amend the rights or obligations of the other.</w:t>
      </w:r>
    </w:p>
    <w:p>
      <w:pPr>
        <w:pStyle w:val="Heading2"/>
      </w:pPr>
      <w:r>
        <w:t xml:space="preserve">8. Variations</w:t>
      </w:r>
    </w:p>
    <w:p>
      <w:r>
        <w:t xml:space="preserve">Cross-product data-sharing, bundled liability, cancellation and renewal changes require case-specific review.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