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Incoming — hosted scanning order with region change</w:t>
      </w:r>
    </w:p>
    <w:p>
      <w:r>
        <w:t xml:space="preserve">INCOMING TEST DOCUMENT  ·  NOT APPROVED LEGAL WORDING</w:t>
      </w:r>
    </w:p>
    <w:p>
      <w:r>
        <w:t xml:space="preserve">Record: IN-02</w:t>
      </w:r>
    </w:p>
    <w:p>
      <w:r>
        <w:t xml:space="preserve">Parties: Northbridge Security Tools Ltd (fictional)  /  Sample Customer Ltd (fictional)</w:t>
      </w:r>
    </w:p>
    <w:p>
      <w:r>
        <w:t xml:space="preserve">Use: Northbridge DAST Cloud</w:t>
      </w:r>
    </w:p>
    <w:p>
      <w:r>
        <w:t xml:space="preserve">Reference version: DEMO-0.1</w:t>
      </w:r>
    </w:p>
    <w:p>
      <w:r>
        <w:t xml:space="preserve">Illustrative document structure only. It is not a contract offered by PortSwigger or a legally approved template.</w:t>
      </w:r>
    </w:p>
    <w:p>
      <w:pPr>
        <w:pStyle w:val="Heading2"/>
      </w:pPr>
      <w:r>
        <w:t xml:space="preserve">1. Order scope</w:t>
      </w:r>
    </w:p>
    <w:p>
      <w:r>
        <w:t xml:space="preserve">Managed cloud scanning subscription for the customer’s authorised web application testing programme.</w:t>
      </w:r>
    </w:p>
    <w:p>
      <w:pPr>
        <w:pStyle w:val="Heading2"/>
      </w:pPr>
      <w:r>
        <w:t xml:space="preserve">2. Deployment</w:t>
      </w:r>
    </w:p>
    <w:p>
      <w:r>
        <w:t xml:space="preserve">The scanning dashboard is vendor-hosted, and the vendor must move processing and backup data to any region requested without further charge or security review.</w:t>
      </w:r>
    </w:p>
    <w:p>
      <w:pPr>
        <w:pStyle w:val="Heading2"/>
      </w:pPr>
      <w:r>
        <w:t xml:space="preserve">3. Subscription</w:t>
      </w:r>
    </w:p>
    <w:p>
      <w:r>
        <w:t xml:space="preserve">Initial period: 12 months; service capacity: 10 concurrent scheduled scanning jobs as an illustrative allocation.</w:t>
      </w:r>
    </w:p>
    <w:p>
      <w:pPr>
        <w:pStyle w:val="Heading2"/>
      </w:pPr>
      <w:r>
        <w:t xml:space="preserve">4. Charges</w:t>
      </w:r>
    </w:p>
    <w:p>
      <w:r>
        <w:t xml:space="preserve">Illustrative fee: GBP 14,400 for year one, payable quarterly in advance, plus taxes.</w:t>
      </w:r>
    </w:p>
    <w:p>
      <w:pPr>
        <w:pStyle w:val="Heading2"/>
      </w:pPr>
      <w:r>
        <w:t xml:space="preserve">5. Data handling</w:t>
      </w:r>
    </w:p>
    <w:p>
      <w:r>
        <w:t xml:space="preserve">Where personal data is processed on the customer’s behalf, an applicable data processing addendum and security schedule must be reviewed.</w:t>
      </w:r>
    </w:p>
    <w:p>
      <w:pPr>
        <w:pStyle w:val="Heading2"/>
      </w:pPr>
      <w:r>
        <w:t xml:space="preserve">6. Authorised scanning</w:t>
      </w:r>
    </w:p>
    <w:p>
      <w:r>
        <w:t xml:space="preserve">Customer represents that each proposed target is within its authorised security testing scope.</w:t>
      </w:r>
    </w:p>
    <w:p>
      <w:pPr>
        <w:pStyle w:val="Heading2"/>
      </w:pPr>
      <w:r>
        <w:t xml:space="preserve">7. Applicable terms</w:t>
      </w:r>
    </w:p>
    <w:p>
      <w:r>
        <w:t xml:space="preserve">Fictional Northbridge Hosted DAST Terms DEMO-01 and any specifically identified schedules apply.</w:t>
      </w:r>
    </w:p>
    <w:p>
      <w:pPr>
        <w:pStyle w:val="Heading2"/>
      </w:pPr>
      <w:r>
        <w:t xml:space="preserve">8. Variations</w:t>
      </w:r>
    </w:p>
    <w:p>
      <w:r>
        <w:t xml:space="preserve">Changes to hosting region, data retention, service commitments, liability, or security obligations require express review.</w:t>
      </w:r>
    </w:p>
    <w:p>
      <w:r>
        <w:t xml:space="preserve">Demonstration note: Review reference applicability, complete companion terms, missing schedules and authority before any legal or commercial decision.</w:t>
      </w:r>
    </w:p>
    <w:sectPr>
      <w:pgSz w:w="12240" w:h="15840"/>
      <w:pgMar w:top="900" w:right="1080" w:bottom="900" w:left="108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1"/>
      </w:rPr>
    </w:rPrDefault>
    <w:pPrDefault>
      <w:pPr>
        <w:spacing w:after="100"/>
      </w:pPr>
    </w:pPrDefault>
  </w:docDefaults>
  <w:style w:type="paragraph" w:default="1" w:styleId="Normal">
    <w:name w:val="Normal"/>
  </w:style>
  <w:style w:type="paragraph" w:styleId="Title">
    <w:name w:val="Title"/>
    <w:pPr>
      <w:spacing w:after="180"/>
    </w:pPr>
    <w:rPr>
      <w:b/>
      <w:sz w:val="32"/>
    </w:rPr>
  </w:style>
  <w:style w:type="paragraph" w:styleId="Heading2">
    <w:name w:val="Heading 2"/>
    <w:pPr>
      <w:spacing w:before="160" w:after="50"/>
    </w:pPr>
    <w:rPr>
      <w:b/>
      <w:sz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