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One-way NDA — Customer disclosures (UK)</w:t>
      </w:r>
    </w:p>
    <w:p>
      <w:r>
        <w:t xml:space="preserve">REFERENCE CANDIDATE  ·  NOT APPROVED LEGAL WORDING</w:t>
      </w:r>
    </w:p>
    <w:p>
      <w:r>
        <w:t xml:space="preserve">Record: NDA-UK-ONEWAY</w:t>
      </w:r>
    </w:p>
    <w:p>
      <w:r>
        <w:t xml:space="preserve">Parties: Northbridge Security Tools Ltd (fictional)  /  Sample Customer Ltd (fictional)</w:t>
      </w:r>
    </w:p>
    <w:p>
      <w:r>
        <w:t xml:space="preserve">Use: One party discloses product information to a potential customer</w:t>
      </w:r>
    </w:p>
    <w:p>
      <w:r>
        <w:t xml:space="preserve">Reference version: DEMO-0.1</w:t>
      </w:r>
    </w:p>
    <w:p>
      <w:r>
        <w:t xml:space="preserve">Illustrative document structure only. It is not a contract offered by PortSwigger or a legally approved template.</w:t>
      </w:r>
    </w:p>
    <w:p>
      <w:pPr>
        <w:pStyle w:val="Heading2"/>
      </w:pPr>
      <w:r>
        <w:t xml:space="preserve">1. Disclosing party</w:t>
      </w:r>
    </w:p>
    <w:p>
      <w:r>
        <w:t xml:space="preserve">Northbridge Security Tools Ltd (fictional) is the Disclosing Party and Sample Customer Ltd (fictional) is the Receiving Party for this demonstration.</w:t>
      </w:r>
    </w:p>
    <w:p>
      <w:pPr>
        <w:pStyle w:val="Heading2"/>
      </w:pPr>
      <w:r>
        <w:t xml:space="preserve">2. Purpose</w:t>
      </w:r>
    </w:p>
    <w:p>
      <w:r>
        <w:t xml:space="preserve">The Disclosing Party shares confidential product information solely for the recipient to decide whether to enter a commercial relationship.</w:t>
      </w:r>
    </w:p>
    <w:p>
      <w:pPr>
        <w:pStyle w:val="Heading2"/>
      </w:pPr>
      <w:r>
        <w:t xml:space="preserve">3. Confidential information</w:t>
      </w:r>
    </w:p>
    <w:p>
      <w:r>
        <w:t xml:space="preserve">Protected information includes non-public product details, security descriptions, roadmap ideas, pricing and demonstrations.</w:t>
      </w:r>
    </w:p>
    <w:p>
      <w:pPr>
        <w:pStyle w:val="Heading2"/>
      </w:pPr>
      <w:r>
        <w:t xml:space="preserve">4. Recipient obligations</w:t>
      </w:r>
    </w:p>
    <w:p>
      <w:r>
        <w:t xml:space="preserve">The Receiving Party uses information only for the purpose, protects it with reasonable care and restricts disclosure to employees and advisers with a need to know.</w:t>
      </w:r>
    </w:p>
    <w:p>
      <w:pPr>
        <w:pStyle w:val="Heading2"/>
      </w:pPr>
      <w:r>
        <w:t xml:space="preserve">5. Exclusions</w:t>
      </w:r>
    </w:p>
    <w:p>
      <w:r>
        <w:t xml:space="preserve">Publicly available or independently developed information is excluded if the receiving party can reasonably demonstrate the basis.</w:t>
      </w:r>
    </w:p>
    <w:p>
      <w:pPr>
        <w:pStyle w:val="Heading2"/>
      </w:pPr>
      <w:r>
        <w:t xml:space="preserve">6. Return</w:t>
      </w:r>
    </w:p>
    <w:p>
      <w:r>
        <w:t xml:space="preserve">On written request the recipient deletes evaluation copies, allowing a restricted copy only when legally required.</w:t>
      </w:r>
    </w:p>
    <w:p>
      <w:pPr>
        <w:pStyle w:val="Heading2"/>
      </w:pPr>
      <w:r>
        <w:t xml:space="preserve">7. Term</w:t>
      </w:r>
    </w:p>
    <w:p>
      <w:r>
        <w:t xml:space="preserve">The agreement lasts twelve months, and confidentiality continues for three years after each disclosure.</w:t>
      </w:r>
    </w:p>
    <w:p>
      <w:pPr>
        <w:pStyle w:val="Heading2"/>
      </w:pPr>
      <w:r>
        <w:t xml:space="preserve">8. No licence</w:t>
      </w:r>
    </w:p>
    <w:p>
      <w:r>
        <w:t xml:space="preserve">No intellectual property, reverse-engineering or commercial exploitation right is granted.</w:t>
      </w:r>
    </w:p>
    <w:p>
      <w:pPr>
        <w:pStyle w:val="Heading2"/>
      </w:pPr>
      <w:r>
        <w:t xml:space="preserve">9. Governing law</w:t>
      </w:r>
    </w:p>
    <w:p>
      <w:r>
        <w:t xml:space="preserve">England and Wales.</w:t>
      </w:r>
    </w:p>
    <w:p>
      <w:r>
        <w:t xml:space="preserve">Demonstration note: Review reference applicability, complete companion terms, missing schedules and authority before any legal or commercial decision.</w:t>
      </w:r>
    </w:p>
    <w:sectPr>
      <w:pgSz w:w="12240" w:h="15840"/>
      <w:pgMar w:top="900" w:right="1080" w:bottom="900" w:left="108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1"/>
      </w:rPr>
    </w:rPrDefault>
    <w:pPrDefault>
      <w:pPr>
        <w:spacing w:after="100"/>
      </w:pPr>
    </w:pPrDefault>
  </w:docDefaults>
  <w:style w:type="paragraph" w:default="1" w:styleId="Normal">
    <w:name w:val="Normal"/>
  </w:style>
  <w:style w:type="paragraph" w:styleId="Title">
    <w:name w:val="Title"/>
    <w:pPr>
      <w:spacing w:after="180"/>
    </w:pPr>
    <w:rPr>
      <w:b/>
      <w:sz w:val="32"/>
    </w:rPr>
  </w:style>
  <w:style w:type="paragraph" w:styleId="Heading2">
    <w:name w:val="Heading 2"/>
    <w:pPr>
      <w:spacing w:before="160" w:after="50"/>
    </w:pPr>
    <w:rPr>
      <w:b/>
      <w:sz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