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6"/>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18A67B87">
            <w:pPr>
              <w:spacing w:after="0" w:line="240" w:lineRule="auto"/>
              <w:jc w:val="center"/>
              <w:rPr>
                <w:rFonts w:ascii="Times New Roman" w:hAnsi="Times New Roman" w:cs="Times New Roman"/>
                <w:b/>
                <w:bCs/>
                <w:sz w:val="24"/>
                <w:szCs w:val="24"/>
              </w:rPr>
            </w:pPr>
          </w:p>
          <w:p w14:paraId="6349B978">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2420030016</w:t>
            </w:r>
          </w:p>
        </w:tc>
        <w:tc>
          <w:tcPr>
            <w:tcW w:w="5528" w:type="dxa"/>
          </w:tcPr>
          <w:p w14:paraId="256A6E97">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Danthuluri Yashswini</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2420030116</w:t>
            </w:r>
          </w:p>
        </w:tc>
        <w:tc>
          <w:tcPr>
            <w:tcW w:w="5528" w:type="dxa"/>
          </w:tcPr>
          <w:p w14:paraId="11B1D292">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Mundru Swetha</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2420090031</w:t>
            </w:r>
          </w:p>
        </w:tc>
        <w:tc>
          <w:tcPr>
            <w:tcW w:w="5528" w:type="dxa"/>
          </w:tcPr>
          <w:p w14:paraId="7B185CD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Kopisetti Charanya</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2420090059</w:t>
            </w:r>
          </w:p>
        </w:tc>
        <w:tc>
          <w:tcPr>
            <w:tcW w:w="5528" w:type="dxa"/>
          </w:tcPr>
          <w:p w14:paraId="25D99CFB">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Jammigumpula Naveena</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Dr.Kalidindi Bhavya Varma</w:t>
            </w:r>
          </w:p>
        </w:tc>
      </w:tr>
    </w:tbl>
    <w:p w14:paraId="0572F962">
      <w:pPr>
        <w:ind w:firstLine="720"/>
        <w:rPr>
          <w:rFonts w:ascii="Times New Roman" w:hAnsi="Times New Roman" w:cs="Times New Roman"/>
          <w:sz w:val="28"/>
          <w:szCs w:val="28"/>
        </w:rPr>
      </w:pPr>
    </w:p>
    <w:p w14:paraId="51A62272">
      <w:pPr>
        <w:ind w:firstLine="720"/>
        <w:jc w:val="both"/>
        <w:rPr>
          <w:rFonts w:ascii="Times New Roman" w:hAnsi="Times New Roman" w:cs="Times New Roman"/>
          <w:b/>
          <w:bCs/>
          <w:sz w:val="28"/>
          <w:szCs w:val="28"/>
        </w:rPr>
      </w:pPr>
    </w:p>
    <w:p w14:paraId="13A8EB64">
      <w:pPr>
        <w:ind w:firstLine="4802" w:firstLineChars="1500"/>
        <w:jc w:val="both"/>
        <w:rPr>
          <w:rFonts w:ascii="Times New Roman" w:hAnsi="Times New Roman" w:cs="Times New Roman"/>
          <w:b/>
          <w:bCs/>
          <w:sz w:val="32"/>
          <w:szCs w:val="32"/>
        </w:rPr>
      </w:pPr>
      <w:r>
        <w:rPr>
          <w:rFonts w:ascii="Times New Roman" w:hAnsi="Times New Roman" w:cs="Times New Roman"/>
          <w:b/>
          <w:bCs/>
          <w:sz w:val="32"/>
          <w:szCs w:val="32"/>
        </w:rPr>
        <w:t>Abstract</w:t>
      </w:r>
    </w:p>
    <w:p w14:paraId="1AAD2646">
      <w:pPr>
        <w:ind w:firstLine="720"/>
        <w:jc w:val="center"/>
        <w:rPr>
          <w:rFonts w:ascii="Times New Roman" w:hAnsi="Times New Roman" w:cs="Times New Roman"/>
          <w:b/>
          <w:bCs/>
          <w:sz w:val="28"/>
          <w:szCs w:val="28"/>
        </w:rPr>
      </w:pPr>
    </w:p>
    <w:p w14:paraId="78F7B2F8">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5"/>
          <w:rFonts w:hint="default" w:ascii="Times New Roman" w:hAnsi="Times New Roman" w:cs="Times New Roman"/>
          <w:sz w:val="28"/>
          <w:szCs w:val="28"/>
        </w:rPr>
        <w:t>Adaptive Student Performance Prediction System</w:t>
      </w:r>
      <w:r>
        <w:rPr>
          <w:rFonts w:hint="default" w:ascii="Times New Roman" w:hAnsi="Times New Roman" w:cs="Times New Roman"/>
          <w:sz w:val="28"/>
          <w:szCs w:val="28"/>
        </w:rPr>
        <w:t xml:space="preserve"> is designed to leverage data engineering and machine learning techniques to forecast academic outcomes and provide personalized learning support. Traditional performance evaluation methods often rely on static assessments, which fail to capture the dynamic nature of student learning. This system integrates multiple data sources such as attendance records, assignment scores, exam results, and behavioral analytics to build a comprehensive learner profile. Using adaptive algorithms, the system continuously updates predictions based on new data, ensuring real</w:t>
      </w:r>
      <w:r>
        <w:rPr>
          <w:rFonts w:hint="default" w:ascii="Times New Roman" w:hAnsi="Times New Roman" w:cs="Times New Roman"/>
          <w:sz w:val="28"/>
          <w:szCs w:val="28"/>
        </w:rPr>
        <w:noBreakHyphen/>
      </w:r>
      <w:r>
        <w:rPr>
          <w:rFonts w:hint="default" w:ascii="Times New Roman" w:hAnsi="Times New Roman" w:cs="Times New Roman"/>
          <w:sz w:val="28"/>
          <w:szCs w:val="28"/>
        </w:rPr>
        <w:t>time accuracy and relevance.</w:t>
      </w:r>
    </w:p>
    <w:p w14:paraId="6164057F">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architecture combines data ingestion pipelines, preprocessing modules for cleaning and normalization, and predictive models such as regression, decision trees, or neural networks. Insights are delivered through interactive dashboards, enabling educators to identify at</w:t>
      </w:r>
      <w:r>
        <w:rPr>
          <w:rFonts w:hint="default" w:ascii="Times New Roman" w:hAnsi="Times New Roman" w:cs="Times New Roman"/>
          <w:sz w:val="28"/>
          <w:szCs w:val="28"/>
        </w:rPr>
        <w:noBreakHyphen/>
      </w:r>
      <w:r>
        <w:rPr>
          <w:rFonts w:hint="default" w:ascii="Times New Roman" w:hAnsi="Times New Roman" w:cs="Times New Roman"/>
          <w:sz w:val="28"/>
          <w:szCs w:val="28"/>
        </w:rPr>
        <w:t>risk students early and tailor interventions accordingly. By adapting to individual learning patterns, the system enhances academic performance, supports personalized education, and contributes to improved institutional decision</w:t>
      </w:r>
      <w:r>
        <w:rPr>
          <w:rFonts w:hint="default" w:ascii="Times New Roman" w:hAnsi="Times New Roman" w:cs="Times New Roman"/>
          <w:sz w:val="28"/>
          <w:szCs w:val="28"/>
        </w:rPr>
        <w:noBreakHyphen/>
      </w:r>
      <w:r>
        <w:rPr>
          <w:rFonts w:hint="default" w:ascii="Times New Roman" w:hAnsi="Times New Roman" w:cs="Times New Roman"/>
          <w:sz w:val="28"/>
          <w:szCs w:val="28"/>
        </w:rPr>
        <w:t>making.</w:t>
      </w:r>
    </w:p>
    <w:p w14:paraId="5B651B08">
      <w:pPr>
        <w:pStyle w:val="4"/>
        <w:keepNext w:val="0"/>
        <w:keepLines w:val="0"/>
        <w:widowControl/>
        <w:suppressLineNumbers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w:t>
      </w:r>
      <w:r>
        <w:rPr>
          <w:rStyle w:val="5"/>
          <w:rFonts w:hint="default" w:ascii="Times New Roman" w:hAnsi="Times New Roman" w:eastAsia="SimSun" w:cs="Times New Roman"/>
          <w:sz w:val="28"/>
          <w:szCs w:val="28"/>
        </w:rPr>
        <w:t>Adaptive Student Performance Prediction System</w:t>
      </w:r>
      <w:r>
        <w:rPr>
          <w:rFonts w:hint="default" w:ascii="Times New Roman" w:hAnsi="Times New Roman" w:eastAsia="SimSun" w:cs="Times New Roman"/>
          <w:sz w:val="28"/>
          <w:szCs w:val="28"/>
        </w:rPr>
        <w:t xml:space="preserve"> is an intelligent framework that integrates data engineering and machine learning to forecast academic outcomes and provide personalized learning interventions. Unlike traditional evaluation methods that rely on static exam scores, this system continuously adapts to new data streams such as attendance, assignment submissions, quiz results, participation in online platforms, and behavioral indicators. By building a dynamic learner profile, it enables early identification of at</w:t>
      </w:r>
      <w:r>
        <w:rPr>
          <w:rFonts w:hint="default" w:ascii="Times New Roman" w:hAnsi="Times New Roman" w:eastAsia="SimSun" w:cs="Times New Roman"/>
          <w:sz w:val="28"/>
          <w:szCs w:val="28"/>
        </w:rPr>
        <w:noBreakHyphen/>
      </w:r>
      <w:r>
        <w:rPr>
          <w:rFonts w:hint="default" w:ascii="Times New Roman" w:hAnsi="Times New Roman" w:eastAsia="SimSun" w:cs="Times New Roman"/>
          <w:sz w:val="28"/>
          <w:szCs w:val="28"/>
        </w:rPr>
        <w:t>risk students and supports tailored educational strategies.</w:t>
      </w:r>
    </w:p>
    <w:p w14:paraId="6FF3949E">
      <w:pPr>
        <w:pStyle w:val="4"/>
        <w:keepNext w:val="0"/>
        <w:keepLines w:val="0"/>
        <w:widowControl/>
        <w:suppressLineNumbers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adaptive nature of the system ensures that predictions evolve with each new data point, making it highly responsive to changes in student behavior and performance. This empowers institutions to move from reactive to proactive strategies, improving retention rates, enhancing student success, and optimizing resource allocation.</w:t>
      </w:r>
    </w:p>
    <w:p w14:paraId="4E50D0F4">
      <w:pPr>
        <w:spacing w:line="360" w:lineRule="auto"/>
        <w:ind w:firstLine="720"/>
        <w:jc w:val="center"/>
        <w:rPr>
          <w:rFonts w:hint="default" w:ascii="Times New Roman" w:hAnsi="Times New Roman" w:cs="Times New Roman"/>
          <w:b/>
          <w:bCs/>
          <w:sz w:val="28"/>
          <w:szCs w:val="28"/>
        </w:rPr>
      </w:pPr>
    </w:p>
    <w:p w14:paraId="38C604CD">
      <w:pPr>
        <w:spacing w:line="360" w:lineRule="auto"/>
        <w:ind w:firstLine="720"/>
        <w:jc w:val="center"/>
        <w:rPr>
          <w:rFonts w:hint="default" w:ascii="Times New Roman" w:hAnsi="Times New Roman" w:cs="Times New Roman"/>
          <w:sz w:val="28"/>
          <w:szCs w:val="28"/>
        </w:rPr>
      </w:pPr>
    </w:p>
    <w:p w14:paraId="040B6A4E">
      <w:pPr>
        <w:spacing w:line="360" w:lineRule="auto"/>
        <w:ind w:firstLine="720"/>
        <w:jc w:val="center"/>
        <w:rPr>
          <w:rFonts w:hint="default" w:ascii="Times New Roman" w:hAnsi="Times New Roman" w:cs="Times New Roman"/>
          <w:sz w:val="28"/>
          <w:szCs w:val="28"/>
        </w:rPr>
      </w:pPr>
    </w:p>
    <w:p w14:paraId="49705A9E">
      <w:pPr>
        <w:jc w:val="both"/>
        <w:rPr>
          <w:rFonts w:hint="default" w:ascii="Times New Roman" w:hAnsi="Times New Roman" w:cs="Times New Roman"/>
          <w:sz w:val="28"/>
          <w:szCs w:val="28"/>
        </w:rPr>
      </w:pPr>
      <w:bookmarkStart w:id="0" w:name="_GoBack"/>
      <w:bookmarkEnd w:id="0"/>
    </w:p>
    <w:p w14:paraId="24E28CC6">
      <w:pPr>
        <w:ind w:firstLine="720"/>
        <w:jc w:val="center"/>
        <w:rPr>
          <w:rFonts w:hint="default" w:ascii="Times New Roman" w:hAnsi="Times New Roman" w:cs="Times New Roman"/>
          <w:sz w:val="28"/>
          <w:szCs w:val="28"/>
        </w:rPr>
      </w:pPr>
    </w:p>
    <w:p w14:paraId="724C2E9E">
      <w:pPr>
        <w:ind w:firstLine="720"/>
        <w:jc w:val="center"/>
        <w:rPr>
          <w:rFonts w:ascii="Times New Roman" w:hAnsi="Times New Roman" w:cs="Times New Roman"/>
          <w:sz w:val="24"/>
          <w:szCs w:val="24"/>
        </w:rPr>
      </w:pPr>
    </w:p>
    <w:p w14:paraId="365B2329">
      <w:pPr>
        <w:ind w:firstLine="720"/>
        <w:jc w:val="center"/>
        <w:rPr>
          <w:rFonts w:ascii="Times New Roman" w:hAnsi="Times New Roman" w:cs="Times New Roman"/>
          <w:sz w:val="24"/>
          <w:szCs w:val="24"/>
        </w:rPr>
      </w:pPr>
    </w:p>
    <w:p w14:paraId="7743CEE3">
      <w:pPr>
        <w:ind w:firstLine="720"/>
        <w:jc w:val="center"/>
        <w:rPr>
          <w:rFonts w:ascii="Times New Roman" w:hAnsi="Times New Roman" w:cs="Times New Roman"/>
          <w:sz w:val="24"/>
          <w:szCs w:val="24"/>
        </w:rPr>
      </w:pP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05320C94"/>
    <w:rsid w:val="3C927D4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22"/>
    <w:rPr>
      <w:b/>
      <w:bCs/>
    </w:r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Words>
  <Characters>195</Characters>
  <Lines>2</Lines>
  <Paragraphs>1</Paragraphs>
  <TotalTime>9</TotalTime>
  <ScaleCrop>false</ScaleCrop>
  <LinksUpToDate>false</LinksUpToDate>
  <CharactersWithSpaces>256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WPS_1723121317</cp:lastModifiedBy>
  <dcterms:modified xsi:type="dcterms:W3CDTF">2026-08-12T06:38:00Z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eyJoZGlkIjoiODRhYjkzYTVlMjEzNTZhYjFmMzI1MTczZjdhODI2YjYiLCJ1c2VySWQiOiI1Njc0OTY1NjgzODgifQ==</vt:lpwstr>
  </property>
  <property fmtid="{D5CDD505-2E9C-101B-9397-08002B2CF9AE}" pid="4" name="KSOProductBuildVer">
    <vt:lpwstr>1033-12.1.0.28032</vt:lpwstr>
  </property>
  <property fmtid="{D5CDD505-2E9C-101B-9397-08002B2CF9AE}" pid="5" name="ICV">
    <vt:lpwstr>2E14E1CD32574779BACC553254622FF0_13</vt:lpwstr>
  </property>
</Properties>
</file>