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AI MULTI-AGENT RESEARCH ASSISTANT: A MODULAR EVIDENCE-GROUNDED WORKFLOW FOR AUTOMATED WEB RESEARCH</w:t>
      </w:r>
    </w:p>
    <w:p>
      <w:pPr>
        <w:spacing w:after="100" w:line="259" w:lineRule="auto"/>
        <w:jc w:val="center"/>
      </w:pPr>
      <w:r>
        <w:rPr>
          <w:rFonts w:ascii="Times New Roman" w:hAnsi="Times New Roman"/>
          <w:sz w:val="21"/>
        </w:rPr>
        <w:t>Y. Srija, T. Deepak, CH. Bharat</w:t>
        <w:br/>
        <w:t>Department of Computer Science and Engineering</w:t>
        <w:br/>
        <w:t>Applied Machine Learning for Text Analysis (24ALT3101)</w:t>
      </w:r>
    </w:p>
    <w:p>
      <w:pPr>
        <w:spacing w:after="100" w:line="259" w:lineRule="auto"/>
        <w:jc w:val="center"/>
      </w:pPr>
      <w:r>
        <w:rPr>
          <w:rFonts w:ascii="Times New Roman" w:hAnsi="Times New Roman"/>
          <w:b/>
          <w:sz w:val="21"/>
        </w:rPr>
        <w:t>Final Research Paper – Project Review 3</w:t>
      </w:r>
    </w:p>
    <w:p>
      <w:pPr>
        <w:pStyle w:val="Heading1"/>
      </w:pPr>
      <w:r>
        <w:t>Abstract</w:t>
      </w:r>
    </w:p>
    <w:p>
      <w:pPr>
        <w:spacing w:after="100" w:line="259" w:lineRule="auto"/>
      </w:pPr>
      <w:r>
        <w:rPr>
          <w:rFonts w:ascii="Times New Roman" w:hAnsi="Times New Roman"/>
          <w:sz w:val="21"/>
        </w:rPr>
        <w:t>Researching complex questions across multiple sources requires query formulation, information retrieval, source comparison, evidence assessment, synthesis, and report preparation. This paper presents an AI Multi-Agent Research Assistant that integrates these activities into a modular workflow. The implemented system accepts a natural-language research question, decomposes it into focused research tasks, generates search queries, retrieves web evidence through Tavily, filters sources, performs hybrid retrieval using semantic and keyword signals, validates evidence at the claim level, and generates an evidence-grounded answer with an automated PDF report. The language-model layer uses Llama 3.1 8B through Ollama, while LangChain provides model integration, FAISS supports vector retrieval, FastAPI provides the service interface, and ReportLab supports report generation. The main contribution is system integration: established techniques are combined into one explicit Plan–Research–Filter–Retrieve–Validate–Synthesize–Report workflow rather than proposing a new foundation model. Functional testing confirms end-to-end execution of the implemented pipeline. The current study does not claim statistically validated benchmark superiority because a larger labeled evaluation set for retrieval, citation correctness, factual support, latency, and cost has not yet been completed.</w:t>
      </w:r>
    </w:p>
    <w:p>
      <w:pPr>
        <w:spacing w:after="100" w:line="259" w:lineRule="auto"/>
      </w:pPr>
      <w:r>
        <w:rPr>
          <w:rFonts w:ascii="Times New Roman" w:hAnsi="Times New Roman"/>
          <w:sz w:val="21"/>
        </w:rPr>
        <w:t>Keywords: Multi-Agent Systems; Retrieval-Augmented Generation; Hybrid RAG; Evidence Validation; Web Research; Llama 3.1; FAISS; Tavily; Research Automation</w:t>
      </w:r>
    </w:p>
    <w:p>
      <w:pPr>
        <w:pStyle w:val="Heading1"/>
      </w:pPr>
      <w:r>
        <w:t>Figure 1. Proposed System Architecture</w:t>
      </w:r>
    </w:p>
    <w:p>
      <w:pPr>
        <w:spacing w:after="100" w:line="259" w:lineRule="auto"/>
      </w:pPr>
      <w:r>
        <w:rPr>
          <w:rFonts w:ascii="Times New Roman" w:hAnsi="Times New Roman"/>
          <w:sz w:val="21"/>
        </w:rPr>
        <w:drawing>
          <wp:inline xmlns:a="http://schemas.openxmlformats.org/drawingml/2006/main" xmlns:pic="http://schemas.openxmlformats.org/drawingml/2006/picture">
            <wp:extent cx="6126480" cy="2193161"/>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6126480" cy="2193161"/>
                    </a:xfrm>
                    <a:prstGeom prst="rect"/>
                  </pic:spPr>
                </pic:pic>
              </a:graphicData>
            </a:graphic>
          </wp:inline>
        </w:drawing>
      </w:r>
    </w:p>
    <w:p>
      <w:pPr>
        <w:spacing w:after="100" w:line="259" w:lineRule="auto"/>
        <w:jc w:val="center"/>
      </w:pPr>
      <w:r>
        <w:rPr>
          <w:rFonts w:ascii="Times New Roman" w:hAnsi="Times New Roman"/>
          <w:sz w:val="21"/>
        </w:rPr>
        <w:t>Figure 1. Plan–Research–Filter–Retrieve–Validate–Synthesize–Report workflow.</w:t>
      </w:r>
    </w:p>
    <w:p>
      <w:pPr>
        <w:pStyle w:val="Heading1"/>
      </w:pPr>
      <w:r>
        <w:t>1 Introduction</w:t>
      </w:r>
    </w:p>
    <w:p>
      <w:pPr>
        <w:pStyle w:val="Heading2"/>
      </w:pPr>
      <w:r>
        <w:t>1.1 Background</w:t>
      </w:r>
    </w:p>
    <w:p>
      <w:pPr>
        <w:spacing w:after="100" w:line="259" w:lineRule="auto"/>
      </w:pPr>
      <w:r>
        <w:rPr>
          <w:rFonts w:ascii="Times New Roman" w:hAnsi="Times New Roman"/>
          <w:sz w:val="21"/>
        </w:rPr>
        <w:t>Research workflows increasingly combine web search, document retrieval, language-model reasoning, and synthesis. Traditional search systems can return documents but leave users responsible for deciding what to search, which sources to trust, how to reconcile evidence, and how to organize findings. Retrieval-augmented generation (RAG) addresses part of this problem by conditioning generation on external evidence [1,2,13]. Tool-using and reasoning-and-acting agents extend the idea by allowing models to interact with external environments [6,7].</w:t>
      </w:r>
    </w:p>
    <w:p>
      <w:pPr>
        <w:pStyle w:val="Heading2"/>
      </w:pPr>
      <w:r>
        <w:t>1.2 Problem Statement</w:t>
      </w:r>
    </w:p>
    <w:p>
      <w:pPr>
        <w:spacing w:after="100" w:line="259" w:lineRule="auto"/>
      </w:pPr>
      <w:r>
        <w:rPr>
          <w:rFonts w:ascii="Times New Roman" w:hAnsi="Times New Roman"/>
          <w:sz w:val="21"/>
        </w:rPr>
        <w:t>The project targets the volume of unstructured web information, the manual effort required to decompose and research a complex question, unsupported claims in single-agent generation, and the lack of an explicit verification checkpoint before final synthesis.</w:t>
      </w:r>
    </w:p>
    <w:p>
      <w:pPr>
        <w:pStyle w:val="Heading2"/>
      </w:pPr>
      <w:r>
        <w:t>1.3 Research Gap</w:t>
      </w:r>
    </w:p>
    <w:p>
      <w:pPr>
        <w:spacing w:after="100" w:line="259" w:lineRule="auto"/>
      </w:pPr>
      <w:r>
        <w:rPr>
          <w:rFonts w:ascii="Times New Roman" w:hAnsi="Times New Roman"/>
          <w:sz w:val="21"/>
        </w:rPr>
        <w:t>Prior research has developed retrieval augmentation, tool use, reasoning-and-acting agents, multi-agent collaboration, self-reflective retrieval, and benchmarks for web-based assistants. These capabilities are often studied independently or in specialized systems [6–12]. The gap addressed here is an application-level integration problem: a modular workflow that explicitly combines task decomposition, web retrieval, source filtering, hybrid retrieval, evidence validation, grounded synthesis, and automated reporting. The contribution is architectural and implementation-oriented rather than a claim of a new language model.</w:t>
      </w:r>
    </w:p>
    <w:p>
      <w:pPr>
        <w:pStyle w:val="Heading2"/>
      </w:pPr>
      <w:r>
        <w:t>1.4 Objectives</w:t>
      </w:r>
    </w:p>
    <w:p>
      <w:pPr>
        <w:spacing w:after="100" w:line="259" w:lineRule="auto"/>
      </w:pPr>
      <w:r>
        <w:rPr>
          <w:rFonts w:ascii="Times New Roman" w:hAnsi="Times New Roman"/>
          <w:sz w:val="21"/>
        </w:rPr>
        <w:t>The objectives are to decompose complex questions, generate task-specific searches, collect and filter evidence, combine semantic and keyword retrieval, validate claims, synthesize evidence-grounded answers, and generate traceable reports.</w:t>
      </w:r>
    </w:p>
    <w:p>
      <w:pPr>
        <w:pStyle w:val="Heading2"/>
      </w:pPr>
      <w:r>
        <w:t>1.5 Research Questions</w:t>
      </w:r>
    </w:p>
    <w:p>
      <w:pPr>
        <w:spacing w:after="100" w:line="259" w:lineRule="auto"/>
      </w:pPr>
      <w:r>
        <w:rPr>
          <w:rFonts w:ascii="Times New Roman" w:hAnsi="Times New Roman"/>
          <w:sz w:val="21"/>
        </w:rPr>
        <w:t>RQ1: Can a modular multi-agent workflow execute the complete research pipeline from a natural-language question to a structured report? RQ2: How can hybrid retrieval support evidence selection? RQ3: How can an explicit validation stage improve claim traceability? RQ4: Which metrics are appropriate for evaluating retrieval, evidence support, citation quality, and efficiency?</w:t>
      </w:r>
    </w:p>
    <w:p>
      <w:pPr>
        <w:pStyle w:val="Heading2"/>
      </w:pPr>
      <w:r>
        <w:t>1.6 Contributions</w:t>
      </w:r>
    </w:p>
    <w:p>
      <w:pPr>
        <w:spacing w:after="100" w:line="259" w:lineRule="auto"/>
      </w:pPr>
      <w:r>
        <w:rPr>
          <w:rFonts w:ascii="Times New Roman" w:hAnsi="Times New Roman"/>
          <w:sz w:val="21"/>
        </w:rPr>
        <w:t>The paper contributes an implemented modular architecture, an explicit validation stage, hybrid retrieval, a FastAPI service boundary, and automated report generation. It also separates literature-reported benchmark results from measurements of the proposed system.</w:t>
      </w:r>
    </w:p>
    <w:p>
      <w:pPr>
        <w:pStyle w:val="Heading2"/>
      </w:pPr>
      <w:r>
        <w:t>1.7 Organization</w:t>
      </w:r>
    </w:p>
    <w:p>
      <w:pPr>
        <w:spacing w:after="100" w:line="259" w:lineRule="auto"/>
      </w:pPr>
      <w:r>
        <w:rPr>
          <w:rFonts w:ascii="Times New Roman" w:hAnsi="Times New Roman"/>
          <w:sz w:val="21"/>
        </w:rPr>
        <w:t>Section 2 reviews related work. Section 3 presents the methodology. Section 4 describes experimental setup. Section 5 reports functional results. Section 6 discusses findings, Section 7 limitations, and Section 8 conclusion and future work.</w:t>
      </w:r>
    </w:p>
    <w:p>
      <w:pPr>
        <w:pStyle w:val="Heading1"/>
      </w:pPr>
      <w:r>
        <w:t>2 Related Work</w:t>
      </w:r>
    </w:p>
    <w:p>
      <w:pPr>
        <w:pStyle w:val="Heading2"/>
      </w:pPr>
      <w:r>
        <w:t>2.1 Retrieval-Augmented Generation</w:t>
      </w:r>
    </w:p>
    <w:p>
      <w:pPr>
        <w:spacing w:after="100" w:line="259" w:lineRule="auto"/>
      </w:pPr>
      <w:r>
        <w:rPr>
          <w:rFonts w:ascii="Times New Roman" w:hAnsi="Times New Roman"/>
          <w:sz w:val="21"/>
        </w:rPr>
        <w:t>REALM introduced retrieval into language-model pretraining [2]. Dense Passage Retrieval demonstrated learned dense representations for open-domain question answering [3]. RAG combined neural generation with retrieved passages [1]. ColBERT further developed contextualized passage retrieval [5]. Survey work has catalogued RAG architectures and evaluation challenges [13].</w:t>
      </w:r>
    </w:p>
    <w:p>
      <w:pPr>
        <w:pStyle w:val="Heading2"/>
      </w:pPr>
      <w:r>
        <w:t>2.2 Reasoning and Tool Use</w:t>
      </w:r>
    </w:p>
    <w:p>
      <w:pPr>
        <w:spacing w:after="100" w:line="259" w:lineRule="auto"/>
      </w:pPr>
      <w:r>
        <w:rPr>
          <w:rFonts w:ascii="Times New Roman" w:hAnsi="Times New Roman"/>
          <w:sz w:val="21"/>
        </w:rPr>
        <w:t>ReAct interleaves reasoning and actions so a language model can use external tools and observations [6]. Toolformer demonstrated model-driven API use [7]. Tool use motivates external evidence gathering, but does not by itself guarantee source quality or claim verification.</w:t>
      </w:r>
    </w:p>
    <w:p>
      <w:pPr>
        <w:pStyle w:val="Heading2"/>
      </w:pPr>
      <w:r>
        <w:t>2.3 Multi-Agent Systems</w:t>
      </w:r>
    </w:p>
    <w:p>
      <w:pPr>
        <w:spacing w:after="100" w:line="259" w:lineRule="auto"/>
      </w:pPr>
      <w:r>
        <w:rPr>
          <w:rFonts w:ascii="Times New Roman" w:hAnsi="Times New Roman"/>
          <w:sz w:val="21"/>
        </w:rPr>
        <w:t>CAMEL explored role-playing agents that cooperate through structured conversations [8], while AutoGen provided a general multi-agent conversation framework [9]. These systems motivate modular roles, but application developers still need domain-specific source selection, validation, and reporting policies.</w:t>
      </w:r>
    </w:p>
    <w:p>
      <w:pPr>
        <w:pStyle w:val="Heading2"/>
      </w:pPr>
      <w:r>
        <w:t>2.4 Self-Reflection</w:t>
      </w:r>
    </w:p>
    <w:p>
      <w:pPr>
        <w:spacing w:after="100" w:line="259" w:lineRule="auto"/>
      </w:pPr>
      <w:r>
        <w:rPr>
          <w:rFonts w:ascii="Times New Roman" w:hAnsi="Times New Roman"/>
          <w:sz w:val="21"/>
        </w:rPr>
        <w:t>Self-RAG introduced adaptive retrieval and self-reflection to improve factuality and citation behavior [10]. The present system instead exposes validation as a separate modular component.</w:t>
      </w:r>
    </w:p>
    <w:p>
      <w:pPr>
        <w:pStyle w:val="Heading2"/>
      </w:pPr>
      <w:r>
        <w:t>2.5 Web Research Challenges</w:t>
      </w:r>
    </w:p>
    <w:p>
      <w:pPr>
        <w:spacing w:after="100" w:line="259" w:lineRule="auto"/>
      </w:pPr>
      <w:r>
        <w:rPr>
          <w:rFonts w:ascii="Times New Roman" w:hAnsi="Times New Roman"/>
          <w:sz w:val="21"/>
        </w:rPr>
        <w:t>GAIA evaluates real-world assistant tasks requiring reasoning, web browsing, and tool use [11]. BrowseComp shows that difficult web research requires strategic search and persistence [14]. Deep Research documentation reports practical limitations including hallucinations, incorrect inferences, source-authority confusion, and confidence-calibration issues [15].</w:t>
      </w:r>
    </w:p>
    <w:p>
      <w:pPr>
        <w:pStyle w:val="Heading2"/>
      </w:pPr>
      <w:r>
        <w:t>2.6 Critical Comparison</w:t>
      </w:r>
    </w:p>
    <w:p>
      <w:pPr>
        <w:spacing w:after="100" w:line="259" w:lineRule="auto"/>
      </w:pPr>
      <w:r>
        <w:rPr>
          <w:rFonts w:ascii="Times New Roman" w:hAnsi="Times New Roman"/>
          <w:sz w:val="21"/>
        </w:rPr>
        <w:t>The literature supports retrieval, tool use, agent decomposition, and evidence checking. This project combines these established techniques into one inspectable application workflow rather than claiming a new foundation model.</w:t>
      </w:r>
    </w:p>
    <w:p>
      <w:pPr>
        <w:pStyle w:val="Heading2"/>
      </w:pPr>
      <w:r>
        <w:t>2.7 Research Gap Summary</w:t>
      </w:r>
    </w:p>
    <w:p>
      <w:pPr>
        <w:spacing w:after="100" w:line="259" w:lineRule="auto"/>
      </w:pPr>
      <w:r>
        <w:rPr>
          <w:rFonts w:ascii="Times New Roman" w:hAnsi="Times New Roman"/>
          <w:sz w:val="21"/>
        </w:rPr>
        <w:t>The practical unresolved problem is reliable composition of individual capabilities. The proposed workflow therefore emphasizes explicit stage boundaries and evidence traceability.</w:t>
      </w:r>
    </w:p>
    <w:p>
      <w:pPr>
        <w:pStyle w:val="Heading1"/>
      </w:pPr>
      <w:r>
        <w:t>3 Proposed Methodology</w:t>
      </w:r>
    </w:p>
    <w:p>
      <w:pPr>
        <w:pStyle w:val="Heading2"/>
      </w:pPr>
      <w:r>
        <w:t>3.1 Overall Framework</w:t>
      </w:r>
    </w:p>
    <w:p>
      <w:pPr>
        <w:spacing w:after="100" w:line="259" w:lineRule="auto"/>
      </w:pPr>
      <w:r>
        <w:rPr>
          <w:rFonts w:ascii="Times New Roman" w:hAnsi="Times New Roman"/>
          <w:sz w:val="21"/>
        </w:rPr>
        <w:t>The implemented pipeline is Plan → Research → Filter → Retrieve → Validate → Synthesize → Report. The Planner uses Llama 3.1 8B. The Research Agent generates focused queries and uses Tavily. Sources are filtered, hybrid retrieval combines FAISS semantic search with keyword matching, validation classifies evidence as SUPPORTED, PARTIALLY SUPPORTED, or UNSUPPORTED, and synthesis uses validated evidence.</w:t>
      </w:r>
    </w:p>
    <w:p>
      <w:pPr>
        <w:pStyle w:val="Heading2"/>
      </w:pPr>
      <w:r>
        <w:t>3.2 Research Data</w:t>
      </w:r>
    </w:p>
    <w:p>
      <w:pPr>
        <w:pStyle w:val="Heading2"/>
      </w:pPr>
      <w:r>
        <w:t>3.2 Dataset</w:t>
      </w:r>
    </w:p>
    <w:p>
      <w:pPr>
        <w:spacing w:after="100" w:line="259" w:lineRule="auto"/>
      </w:pPr>
      <w:r>
        <w:rPr>
          <w:rFonts w:ascii="Times New Roman" w:hAnsi="Times New Roman"/>
          <w:sz w:val="21"/>
        </w:rPr>
        <w:t>The system does not train a supervised classifier on a fixed labeled dataset. Its research inputs are dynamic web pages and snippets returned for each user query. A reproducible benchmark dataset has not yet been assembled; this is an evaluation limitation rather than a missing training corpus.</w:t>
      </w:r>
    </w:p>
    <w:p>
      <w:pPr>
        <w:spacing w:after="100" w:line="259" w:lineRule="auto"/>
      </w:pPr>
      <w:r>
        <w:rPr>
          <w:rFonts w:ascii="Times New Roman" w:hAnsi="Times New Roman"/>
          <w:sz w:val="21"/>
        </w:rPr>
        <w:t>The system primarily uses dynamically retrieved web evidence rather than one fixed training dataset. Source titles, URLs, snippets, and available content are passed through the pipeline.</w:t>
      </w:r>
    </w:p>
    <w:p>
      <w:pPr>
        <w:pStyle w:val="Heading2"/>
      </w:pPr>
      <w:r>
        <w:t>3.3 Source Filtering</w:t>
      </w:r>
    </w:p>
    <w:p>
      <w:pPr>
        <w:pStyle w:val="Heading2"/>
      </w:pPr>
      <w:r>
        <w:t>3.3 Data Preprocessing</w:t>
      </w:r>
    </w:p>
    <w:p>
      <w:pPr>
        <w:spacing w:after="100" w:line="259" w:lineRule="auto"/>
      </w:pPr>
      <w:r>
        <w:rPr>
          <w:rFonts w:ascii="Times New Roman" w:hAnsi="Times New Roman"/>
          <w:sz w:val="21"/>
        </w:rPr>
        <w:t>Retrieved source records are normalized into a consistent structure containing available titles, URLs, snippets, and content. Empty results are skipped, and the pipeline applies bounded task and query counts to keep execution manageable. A formal text-cleaning benchmark has not been conducted.</w:t>
      </w:r>
    </w:p>
    <w:p>
      <w:pPr>
        <w:pStyle w:val="Heading2"/>
      </w:pPr>
      <w:r>
        <w:t>3.4 Feature Engineering</w:t>
      </w:r>
    </w:p>
    <w:p>
      <w:pPr>
        <w:spacing w:after="100" w:line="259" w:lineRule="auto"/>
      </w:pPr>
      <w:r>
        <w:rPr>
          <w:rFonts w:ascii="Times New Roman" w:hAnsi="Times New Roman"/>
          <w:sz w:val="21"/>
        </w:rPr>
        <w:t>The system uses retrieval signals rather than a task-specific engineered feature vector. Semantic embeddings represent contextual similarity, while lexical matching represents exact-term overlap. Source title, URL, and snippet are retained as metadata for traceability.</w:t>
      </w:r>
    </w:p>
    <w:p>
      <w:pPr>
        <w:pStyle w:val="Heading2"/>
      </w:pPr>
      <w:r>
        <w:t>3.5 Feature Selection</w:t>
      </w:r>
    </w:p>
    <w:p>
      <w:pPr>
        <w:spacing w:after="100" w:line="259" w:lineRule="auto"/>
      </w:pPr>
      <w:r>
        <w:rPr>
          <w:rFonts w:ascii="Times New Roman" w:hAnsi="Times New Roman"/>
          <w:sz w:val="21"/>
        </w:rPr>
        <w:t>No supervised feature-selection algorithm is used. Candidate evidence is selected through source filtering and hybrid retrieval ranking. The weighting parameter and top-k setting should be tuned on a labeled benchmark in future work.</w:t>
      </w:r>
    </w:p>
    <w:p>
      <w:pPr>
        <w:spacing w:after="100" w:line="259" w:lineRule="auto"/>
      </w:pPr>
      <w:r>
        <w:rPr>
          <w:rFonts w:ascii="Times New Roman" w:hAnsi="Times New Roman"/>
          <w:sz w:val="21"/>
        </w:rPr>
        <w:t>Retrieved items are filtered for relevance and suitability before retrieval and synthesis. The implementation limits the number of tasks and search queries to keep interactive execution manageable.</w:t>
      </w:r>
    </w:p>
    <w:p>
      <w:pPr>
        <w:pStyle w:val="Heading2"/>
      </w:pPr>
      <w:r>
        <w:t>3.4 Hybrid Retrieval</w:t>
      </w:r>
    </w:p>
    <w:p>
      <w:pPr>
        <w:pStyle w:val="Heading2"/>
      </w:pPr>
      <w:r>
        <w:t>3.6 Proposed Model</w:t>
      </w:r>
    </w:p>
    <w:p>
      <w:pPr>
        <w:spacing w:after="100" w:line="259" w:lineRule="auto"/>
      </w:pPr>
      <w:r>
        <w:rPr>
          <w:rFonts w:ascii="Times New Roman" w:hAnsi="Times New Roman"/>
          <w:sz w:val="21"/>
        </w:rPr>
        <w:t>The proposed model is a modular research workflow rather than a newly trained predictive model. It combines task planning, Tavily web search, source filtering, FAISS-based semantic retrieval, keyword matching, claim validation, evidence-grounded synthesis, and ReportLab PDF generation.</w:t>
      </w:r>
    </w:p>
    <w:p>
      <w:pPr>
        <w:pStyle w:val="Heading2"/>
      </w:pPr>
      <w:r>
        <w:t>3.7 Baseline Models</w:t>
      </w:r>
    </w:p>
    <w:p>
      <w:pPr>
        <w:spacing w:after="100" w:line="259" w:lineRule="auto"/>
      </w:pPr>
      <w:r>
        <w:rPr>
          <w:rFonts w:ascii="Times New Roman" w:hAnsi="Times New Roman"/>
          <w:sz w:val="21"/>
        </w:rPr>
        <w:t>A controlled baseline comparison has not yet been performed on a shared benchmark. Appropriate future baselines include direct LLM answering without retrieval, single-pass RAG, keyword-only retrieval, semantic-only retrieval, and the full hybrid workflow. Results from other papers are literature context and are not measurements of this system.</w:t>
      </w:r>
    </w:p>
    <w:p>
      <w:pPr>
        <w:pStyle w:val="Heading2"/>
      </w:pPr>
      <w:r>
        <w:t>3.8 Explainability Method</w:t>
      </w:r>
    </w:p>
    <w:p>
      <w:pPr>
        <w:spacing w:after="100" w:line="259" w:lineRule="auto"/>
      </w:pPr>
      <w:r>
        <w:rPr>
          <w:rFonts w:ascii="Times New Roman" w:hAnsi="Times New Roman"/>
          <w:sz w:val="21"/>
        </w:rPr>
        <w:t>Interpretability is supported through source traceability: the workflow retains source titles and URLs and classifies claims as SUPPORTED, PARTIALLY SUPPORTED, or UNSUPPORTED. This is an evidence-audit mechanism, not a formal feature-attribution method such as SHAP or LIME.</w:t>
      </w:r>
    </w:p>
    <w:p>
      <w:pPr>
        <w:pStyle w:val="Heading2"/>
      </w:pPr>
      <w:r>
        <w:t>3.9 Algorithm / Mathematical Formulation</w:t>
      </w:r>
    </w:p>
    <w:p>
      <w:pPr>
        <w:spacing w:after="100" w:line="259" w:lineRule="auto"/>
      </w:pPr>
      <w:r>
        <w:rPr>
          <w:rFonts w:ascii="Times New Roman" w:hAnsi="Times New Roman"/>
          <w:sz w:val="21"/>
        </w:rPr>
        <w:t>For query q and document d, let s(q,d) be semantic similarity and k(q,d) be a normalized keyword score. The hybrid score is H(q,d) = αs(q,d) + (1 − α)k(q,d), where 0 ≤ α ≤ 1. Documents are ranked by H and the top-k candidates are passed to subsequent evidence assessment. Exact α and top-k values should be recorded for every benchmark run.</w:t>
      </w:r>
    </w:p>
    <w:p>
      <w:pPr>
        <w:spacing w:after="100" w:line="259" w:lineRule="auto"/>
      </w:pPr>
      <w:r>
        <w:rPr>
          <w:rFonts w:ascii="Times New Roman" w:hAnsi="Times New Roman"/>
          <w:sz w:val="21"/>
        </w:rPr>
        <w:t>Let s(v,d) denote semantic similarity and k(q,d) a normalized keyword score. A generic hybrid score is H(q,d)=αs(v,d)+(1−α)k(q,d), 0≤α≤1. FAISS provides vector similarity retrieval while keyword matching preserves direct lexical matches.</w:t>
      </w:r>
    </w:p>
    <w:p>
      <w:pPr>
        <w:pStyle w:val="Heading2"/>
      </w:pPr>
      <w:r>
        <w:t>3.5 Evidence Validation</w:t>
      </w:r>
    </w:p>
    <w:p>
      <w:pPr>
        <w:spacing w:after="100" w:line="259" w:lineRule="auto"/>
      </w:pPr>
      <w:r>
        <w:rPr>
          <w:rFonts w:ascii="Times New Roman" w:hAnsi="Times New Roman"/>
          <w:sz w:val="21"/>
        </w:rPr>
        <w:t>The Validation Agent evaluates whether claims are supported by collected sources. SUPPORTED claims may be stated directly; PARTIALLY SUPPORTED claims are qualified; UNSUPPORTED claims are excluded from factual presentation.</w:t>
      </w:r>
    </w:p>
    <w:p>
      <w:pPr>
        <w:pStyle w:val="Heading2"/>
      </w:pPr>
      <w:r>
        <w:t>3.6 Synthesis and Reporting</w:t>
      </w:r>
    </w:p>
    <w:p>
      <w:pPr>
        <w:spacing w:after="100" w:line="259" w:lineRule="auto"/>
      </w:pPr>
      <w:r>
        <w:rPr>
          <w:rFonts w:ascii="Times New Roman" w:hAnsi="Times New Roman"/>
          <w:sz w:val="21"/>
        </w:rPr>
        <w:t>The Synthesis Agent is instructed to answer the original question using only supplied validated evidence. Report generation packages the answer, sources, confidence and limitations into a PDF.</w:t>
      </w:r>
    </w:p>
    <w:p>
      <w:pPr>
        <w:pStyle w:val="Heading2"/>
      </w:pPr>
      <w:r>
        <w:t>3.7 System Architecture</w:t>
      </w:r>
    </w:p>
    <w:p>
      <w:pPr>
        <w:spacing w:after="100" w:line="259" w:lineRule="auto"/>
      </w:pPr>
      <w:r>
        <w:rPr>
          <w:rFonts w:ascii="Times New Roman" w:hAnsi="Times New Roman"/>
          <w:sz w:val="21"/>
        </w:rPr>
        <w:t>Figure 1 shows the complete workflow and stage boundaries.</w:t>
      </w:r>
    </w:p>
    <w:p>
      <w:pPr>
        <w:pStyle w:val="Heading1"/>
      </w:pPr>
      <w:r>
        <w:t>4 Experimental Setup</w:t>
      </w:r>
    </w:p>
    <w:p>
      <w:pPr>
        <w:pStyle w:val="Heading2"/>
      </w:pPr>
      <w:r>
        <w:t>4.1 Hardware and Software</w:t>
      </w:r>
    </w:p>
    <w:p>
      <w:pPr>
        <w:spacing w:after="100" w:line="259" w:lineRule="auto"/>
      </w:pPr>
      <w:r>
        <w:rPr>
          <w:rFonts w:ascii="Times New Roman" w:hAnsi="Times New Roman"/>
          <w:sz w:val="21"/>
        </w:rPr>
        <w:t>The implementation uses Python, Llama 3.1 8B through Ollama, LangChain, Tavily, FAISS, FastAPI, and ReportLab. Docker is planned rather than claimed as completed.</w:t>
      </w:r>
    </w:p>
    <w:p>
      <w:pPr>
        <w:pStyle w:val="Heading2"/>
      </w:pPr>
      <w:r>
        <w:t>4.2 Evaluation Design</w:t>
      </w:r>
    </w:p>
    <w:p>
      <w:pPr>
        <w:pStyle w:val="Heading2"/>
      </w:pPr>
      <w:r>
        <w:t>4.2 Dataset Split</w:t>
      </w:r>
    </w:p>
    <w:p>
      <w:pPr>
        <w:spacing w:after="100" w:line="259" w:lineRule="auto"/>
      </w:pPr>
      <w:r>
        <w:rPr>
          <w:rFonts w:ascii="Times New Roman" w:hAnsi="Times New Roman"/>
          <w:sz w:val="21"/>
        </w:rPr>
        <w:t>Not applicable to the current functional demonstration because no fixed labeled dataset was split into training, validation, and test sets. A future benchmark should use separate development and held-out test questions to avoid tuning and reporting on the same examples.</w:t>
      </w:r>
    </w:p>
    <w:p>
      <w:pPr>
        <w:pStyle w:val="Heading2"/>
      </w:pPr>
      <w:r>
        <w:t>4.3 Hyperparameter Configuration</w:t>
      </w:r>
    </w:p>
    <w:p>
      <w:pPr>
        <w:spacing w:after="100" w:line="259" w:lineRule="auto"/>
      </w:pPr>
      <w:r>
        <w:rPr>
          <w:rFonts w:ascii="Times New Roman" w:hAnsi="Times New Roman"/>
          <w:sz w:val="21"/>
        </w:rPr>
        <w:t>The current implementation limits the planner to at most three research tasks and at most two search queries per task, and uses Tavily basic search with a bounded result count. The hybrid retrieval top-k is configured in code. These are execution settings, not hyperparameters learned by training.</w:t>
      </w:r>
    </w:p>
    <w:p>
      <w:pPr>
        <w:pStyle w:val="Heading2"/>
      </w:pPr>
      <w:r>
        <w:t>4.4 Cross-Validation</w:t>
      </w:r>
    </w:p>
    <w:p>
      <w:pPr>
        <w:spacing w:after="100" w:line="259" w:lineRule="auto"/>
      </w:pPr>
      <w:r>
        <w:rPr>
          <w:rFonts w:ascii="Times New Roman" w:hAnsi="Times New Roman"/>
          <w:sz w:val="21"/>
        </w:rPr>
        <w:t>Cross-validation has not been conducted because the project has not yet established a labeled benchmark with independent examples. If claim validation is evaluated as a classification task, stratified cross-validation may be considered where the sample size permits.</w:t>
      </w:r>
    </w:p>
    <w:p>
      <w:pPr>
        <w:pStyle w:val="Heading2"/>
      </w:pPr>
      <w:r>
        <w:t>4.6 Statistical Testing</w:t>
      </w:r>
    </w:p>
    <w:p>
      <w:pPr>
        <w:spacing w:after="100" w:line="259" w:lineRule="auto"/>
      </w:pPr>
      <w:r>
        <w:rPr>
          <w:rFonts w:ascii="Times New Roman" w:hAnsi="Times New Roman"/>
          <w:sz w:val="21"/>
        </w:rPr>
        <w:t>No significance tests or confidence intervals are reported. Such tests require repeated measurements or a sufficiently sized benchmark and a predefined comparison protocol; therefore, the paper makes no statistical superiority claim.</w:t>
      </w:r>
    </w:p>
    <w:p>
      <w:pPr>
        <w:spacing w:after="100" w:line="259" w:lineRule="auto"/>
      </w:pPr>
      <w:r>
        <w:rPr>
          <w:rFonts w:ascii="Times New Roman" w:hAnsi="Times New Roman"/>
          <w:sz w:val="21"/>
        </w:rPr>
        <w:t>A complete scientific evaluation requires a fixed set of research questions, reference evidence, expected claims, and evaluation criteria. The current paper therefore separates functional verification from benchmark performance.</w:t>
      </w:r>
    </w:p>
    <w:p>
      <w:pPr>
        <w:pStyle w:val="Heading2"/>
      </w:pPr>
      <w:r>
        <w:t>4.3 Functional Verification</w:t>
      </w:r>
    </w:p>
    <w:p>
      <w:pPr>
        <w:spacing w:after="100" w:line="259" w:lineRule="auto"/>
      </w:pPr>
      <w:r>
        <w:rPr>
          <w:rFonts w:ascii="Times New Roman" w:hAnsi="Times New Roman"/>
          <w:sz w:val="21"/>
        </w:rPr>
        <w:t>The implemented pipeline was exercised through the command-line workflow and FastAPI interface. Verification focused on successful execution and transfer of outputs between planning, research, filtering, retrieval, validation, synthesis, and reporting.</w:t>
      </w:r>
    </w:p>
    <w:p>
      <w:pPr>
        <w:pStyle w:val="Heading2"/>
      </w:pPr>
      <w:r>
        <w:t>4.4 Evaluation Metrics</w:t>
      </w:r>
    </w:p>
    <w:p>
      <w:pPr>
        <w:spacing w:after="100" w:line="259" w:lineRule="auto"/>
      </w:pPr>
      <w:r>
        <w:rPr>
          <w:rFonts w:ascii="Times New Roman" w:hAnsi="Times New Roman"/>
          <w:sz w:val="21"/>
        </w:rPr>
        <w:t>Future benchmark evaluation should measure Recall@K, Precision@K, MRR or nDCG for retrieval; claim-support Precision, Recall and F1 for labeled validation; citation precision and coverage; answer-level factual support; latency; and cost.</w:t>
      </w:r>
    </w:p>
    <w:p>
      <w:pPr>
        <w:pStyle w:val="Heading2"/>
      </w:pPr>
      <w:r>
        <w:t>4.5 Reproducibility</w:t>
      </w:r>
    </w:p>
    <w:p>
      <w:pPr>
        <w:spacing w:after="100" w:line="259" w:lineRule="auto"/>
      </w:pPr>
      <w:r>
        <w:rPr>
          <w:rFonts w:ascii="Times New Roman" w:hAnsi="Times New Roman"/>
          <w:sz w:val="21"/>
        </w:rPr>
        <w:t>Future runs should record the research question, subtasks, search queries, retrieved URLs, filtered sources, evidence, validation labels, final answer, runtime, and report artifact.</w:t>
      </w:r>
    </w:p>
    <w:p>
      <w:pPr>
        <w:pStyle w:val="Heading1"/>
      </w:pPr>
      <w:r>
        <w:t>5 Results</w:t>
      </w:r>
    </w:p>
    <w:p>
      <w:pPr>
        <w:pStyle w:val="Heading2"/>
      </w:pPr>
      <w:r>
        <w:t>5.1 Functional Results</w:t>
      </w:r>
    </w:p>
    <w:p>
      <w:pPr>
        <w:pStyle w:val="Heading2"/>
      </w:pPr>
      <w:r>
        <w:t>5.2 Model Comparison</w:t>
      </w:r>
    </w:p>
    <w:p>
      <w:pPr>
        <w:spacing w:after="100" w:line="259" w:lineRule="auto"/>
      </w:pPr>
      <w:r>
        <w:rPr>
          <w:rFonts w:ascii="Times New Roman" w:hAnsi="Times New Roman"/>
          <w:sz w:val="21"/>
        </w:rPr>
        <w:t>The present results establish functional integration, not comparative predictive accuracy. A fair comparison must evaluate all baselines on the same questions, source pool, relevance labels, and metrics. Published results from other systems are not substituted for project measurements.</w:t>
      </w:r>
    </w:p>
    <w:p>
      <w:pPr>
        <w:pStyle w:val="Heading2"/>
      </w:pPr>
      <w:r>
        <w:t>5.3 Confusion Matrix</w:t>
      </w:r>
    </w:p>
    <w:p>
      <w:pPr>
        <w:spacing w:after="100" w:line="259" w:lineRule="auto"/>
      </w:pPr>
      <w:r>
        <w:rPr>
          <w:rFonts w:ascii="Times New Roman" w:hAnsi="Times New Roman"/>
          <w:sz w:val="21"/>
        </w:rPr>
        <w:t>A confusion matrix is not available because a labeled set of claim-level ground-truth decisions has not been evaluated. It can be reported once human-labeled supported/partially supported/unsupported claims are collected and predictions are matched to reference labels.</w:t>
      </w:r>
    </w:p>
    <w:p>
      <w:pPr>
        <w:pStyle w:val="Heading2"/>
      </w:pPr>
      <w:r>
        <w:t>5.4 ROC/PR Analysis</w:t>
      </w:r>
    </w:p>
    <w:p>
      <w:pPr>
        <w:spacing w:after="100" w:line="259" w:lineRule="auto"/>
      </w:pPr>
      <w:r>
        <w:rPr>
          <w:rFonts w:ascii="Times New Roman" w:hAnsi="Times New Roman"/>
          <w:sz w:val="21"/>
        </w:rPr>
        <w:t>ROC and precision-recall curves are not applicable to the current unscored end-to-end research workflow without a defined binary classification task and labeled examples. They may be suitable for a separately evaluated claim-support classifier.</w:t>
      </w:r>
    </w:p>
    <w:p>
      <w:pPr>
        <w:pStyle w:val="Heading2"/>
      </w:pPr>
      <w:r>
        <w:t>5.5 Feature Importance</w:t>
      </w:r>
    </w:p>
    <w:p>
      <w:pPr>
        <w:spacing w:after="100" w:line="259" w:lineRule="auto"/>
      </w:pPr>
      <w:r>
        <w:rPr>
          <w:rFonts w:ascii="Times New Roman" w:hAnsi="Times New Roman"/>
          <w:sz w:val="21"/>
        </w:rPr>
        <w:t>Feature importance is not applicable to the current modular retrieval pipeline because it is not a trained tabular predictive model. Retrieval-signal ablation and sensitivity analysis are more appropriate ways to study component contributions.</w:t>
      </w:r>
    </w:p>
    <w:p>
      <w:pPr>
        <w:pStyle w:val="Heading2"/>
      </w:pPr>
      <w:r>
        <w:t>5.6 Explainability Results</w:t>
      </w:r>
    </w:p>
    <w:p>
      <w:pPr>
        <w:spacing w:after="100" w:line="259" w:lineRule="auto"/>
      </w:pPr>
      <w:r>
        <w:rPr>
          <w:rFonts w:ascii="Times New Roman" w:hAnsi="Times New Roman"/>
          <w:sz w:val="21"/>
        </w:rPr>
        <w:t>The current explainability evidence is qualitative: sources are retained alongside research tasks and validation outcomes, and synthesis is instructed to use supplied evidence. A quantitative citation-precision or claim-support audit remains future work.</w:t>
      </w:r>
    </w:p>
    <w:p>
      <w:pPr>
        <w:pStyle w:val="Heading2"/>
      </w:pPr>
      <w:r>
        <w:t>5.7 Ablation Study</w:t>
      </w:r>
    </w:p>
    <w:p>
      <w:pPr>
        <w:spacing w:after="100" w:line="259" w:lineRule="auto"/>
      </w:pPr>
      <w:r>
        <w:rPr>
          <w:rFonts w:ascii="Times New Roman" w:hAnsi="Times New Roman"/>
          <w:sz w:val="21"/>
        </w:rPr>
        <w:t>No ablation study has been completed. Future experiments should remove keyword matching, semantic retrieval, source filtering, or validation one at a time and measure the resulting changes in retrieval quality, claim support, citation quality, latency, and cost.</w:t>
      </w:r>
    </w:p>
    <w:p>
      <w:pPr>
        <w:pStyle w:val="Heading2"/>
      </w:pPr>
      <w:r>
        <w:t>5.8 Statistical Results</w:t>
      </w:r>
    </w:p>
    <w:p>
      <w:pPr>
        <w:spacing w:after="100" w:line="259" w:lineRule="auto"/>
      </w:pPr>
      <w:r>
        <w:rPr>
          <w:rFonts w:ascii="Times New Roman" w:hAnsi="Times New Roman"/>
          <w:sz w:val="21"/>
        </w:rPr>
        <w:t>No statistical test results are available. The reported outcome is functional execution of the pipeline; formal statistical claims are deferred until a benchmark and repeated runs are completed.</w:t>
      </w:r>
    </w:p>
    <w:p>
      <w:pPr>
        <w:spacing w:after="100" w:line="259" w:lineRule="auto"/>
      </w:pPr>
      <w:r>
        <w:rPr>
          <w:rFonts w:ascii="Times New Roman" w:hAnsi="Times New Roman"/>
          <w:sz w:val="21"/>
        </w:rPr>
        <w:t>The implemented system demonstrates the intended end-to-end control flow: a user question is decomposed into tasks, web sources are collected, sources are filtered, hybrid retrieval is executed, evidence is validated, a final answer is synthesized, and a PDF report is generated. The FastAPI layer exposes the workflow through a web interface.</w:t>
      </w:r>
    </w:p>
    <w:p>
      <w:pPr>
        <w:pStyle w:val="Heading2"/>
      </w:pPr>
      <w:r>
        <w:t>5.2 Component Verification</w:t>
      </w:r>
    </w:p>
    <w:p>
      <w:pPr>
        <w:spacing w:after="100" w:line="259" w:lineRule="auto"/>
      </w:pPr>
      <w:r>
        <w:rPr>
          <w:rFonts w:ascii="Times New Roman" w:hAnsi="Times New Roman"/>
          <w:sz w:val="21"/>
        </w:rPr>
        <w:t>Planner Agent: implemented. Tavily web research: implemented. Source filtering: implemented. FAISS-based hybrid retrieval: implemented. Validation Agent: implemented. Llama 3.1 8B with Ollama: implemented. ReportLab PDF generation: implemented. FastAPI service: implemented. LangGraph and Docker remain planned.</w:t>
      </w:r>
    </w:p>
    <w:p>
      <w:pPr>
        <w:pStyle w:val="Heading2"/>
      </w:pPr>
      <w:r>
        <w:t>5.3 Evidence Traceability</w:t>
      </w:r>
    </w:p>
    <w:p>
      <w:pPr>
        <w:spacing w:after="100" w:line="259" w:lineRule="auto"/>
      </w:pPr>
      <w:r>
        <w:rPr>
          <w:rFonts w:ascii="Times New Roman" w:hAnsi="Times New Roman"/>
          <w:sz w:val="21"/>
        </w:rPr>
        <w:t>The strongest current result is traceability: task-specific validation results and source evidence are passed into synthesis, while the report preserves source information and confidence/limitations.</w:t>
      </w:r>
    </w:p>
    <w:p>
      <w:pPr>
        <w:pStyle w:val="Heading2"/>
      </w:pPr>
      <w:r>
        <w:t>5.4 Literature Benchmark Results</w:t>
      </w:r>
    </w:p>
    <w:p>
      <w:pPr>
        <w:spacing w:after="100" w:line="259" w:lineRule="auto"/>
      </w:pPr>
      <w:r>
        <w:rPr>
          <w:rFonts w:ascii="Times New Roman" w:hAnsi="Times New Roman"/>
          <w:sz w:val="21"/>
        </w:rPr>
        <w:t>The comparative literature graph uses reported Accuracy, Precision, Recall and F1 values from a 2025 RAG study. Those values belong to the source study and are not measurements of this research assistant.</w:t>
      </w:r>
    </w:p>
    <w:p>
      <w:pPr>
        <w:pStyle w:val="Heading2"/>
      </w:pPr>
      <w:r>
        <w:t>5.5 Evaluation Status</w:t>
      </w:r>
    </w:p>
    <w:p>
      <w:pPr>
        <w:spacing w:after="100" w:line="259" w:lineRule="auto"/>
      </w:pPr>
      <w:r>
        <w:rPr>
          <w:rFonts w:ascii="Times New Roman" w:hAnsi="Times New Roman"/>
          <w:sz w:val="21"/>
        </w:rPr>
        <w:t>No statistically meaningful superiority claim is made. A larger benchmark is required to compare the system against baselines using common tasks and metrics.</w:t>
      </w:r>
    </w:p>
    <w:p>
      <w:pPr>
        <w:pStyle w:val="Heading1"/>
      </w:pPr>
      <w:r>
        <w:t>6 Discussion</w:t>
      </w:r>
    </w:p>
    <w:p>
      <w:pPr>
        <w:pStyle w:val="Heading2"/>
      </w:pPr>
      <w:r>
        <w:t>6.1 Interpretation</w:t>
      </w:r>
    </w:p>
    <w:p>
      <w:pPr>
        <w:spacing w:after="100" w:line="259" w:lineRule="auto"/>
      </w:pPr>
      <w:r>
        <w:rPr>
          <w:rFonts w:ascii="Times New Roman" w:hAnsi="Times New Roman"/>
          <w:sz w:val="21"/>
        </w:rPr>
        <w:t>Functional results indicate that explicit modularization is feasible: failures can be localized to planning, retrieval, filtering, validation, synthesis, or reporting.</w:t>
      </w:r>
    </w:p>
    <w:p>
      <w:pPr>
        <w:pStyle w:val="Heading2"/>
      </w:pPr>
      <w:r>
        <w:t>6.2 Comparison With Previous Studies</w:t>
      </w:r>
    </w:p>
    <w:p>
      <w:pPr>
        <w:spacing w:after="100" w:line="259" w:lineRule="auto"/>
      </w:pPr>
      <w:r>
        <w:rPr>
          <w:rFonts w:ascii="Times New Roman" w:hAnsi="Times New Roman"/>
          <w:sz w:val="21"/>
        </w:rPr>
        <w:t>Compared with pure RAG, the system adds explicit task decomposition, source filtering, validation, and reporting [1,13]. Compared with reasoning-and-acting agents, it emphasizes a research-specific sequence and evidence traceability [6]. Compared with generic multi-agent frameworks, it defines research-specific roles and a validation checkpoint [8,9]. Compared with Self-RAG, validation is exposed as a separate component [10].</w:t>
      </w:r>
    </w:p>
    <w:p>
      <w:pPr>
        <w:pStyle w:val="Heading2"/>
      </w:pPr>
      <w:r>
        <w:t>6.3 Practical Implications</w:t>
      </w:r>
    </w:p>
    <w:p>
      <w:pPr>
        <w:spacing w:after="100" w:line="259" w:lineRule="auto"/>
      </w:pPr>
      <w:r>
        <w:rPr>
          <w:rFonts w:ascii="Times New Roman" w:hAnsi="Times New Roman"/>
          <w:sz w:val="21"/>
        </w:rPr>
        <w:t>The architecture is suitable for research-assistance scenarios where source traceability and structured output are important. It can be extended with trusted-domain policies, stronger citation verification, and benchmark evaluators.</w:t>
      </w:r>
    </w:p>
    <w:p>
      <w:pPr>
        <w:pStyle w:val="Heading2"/>
      </w:pPr>
      <w:r>
        <w:t>6.4 Open Issues</w:t>
      </w:r>
    </w:p>
    <w:p>
      <w:pPr>
        <w:spacing w:after="100" w:line="259" w:lineRule="auto"/>
      </w:pPr>
      <w:r>
        <w:rPr>
          <w:rFonts w:ascii="Times New Roman" w:hAnsi="Times New Roman"/>
          <w:sz w:val="21"/>
        </w:rPr>
        <w:t>Web research introduces variable latency and changing source availability. More retrieval can improve evidence coverage but also increases context size and processing cost.</w:t>
      </w:r>
    </w:p>
    <w:p>
      <w:pPr>
        <w:pStyle w:val="Heading2"/>
      </w:pPr>
      <w:r>
        <w:t>6.5 Evaluation Implications</w:t>
      </w:r>
    </w:p>
    <w:p>
      <w:pPr>
        <w:spacing w:after="100" w:line="259" w:lineRule="auto"/>
      </w:pPr>
      <w:r>
        <w:rPr>
          <w:rFonts w:ascii="Times New Roman" w:hAnsi="Times New Roman"/>
          <w:sz w:val="21"/>
        </w:rPr>
        <w:t>Browsing capability alone is insufficient for difficult research tasks [14]. Evaluation should therefore test evidence selection, claim-source relationships, disagreement handling, and uncertainty communication.</w:t>
      </w:r>
    </w:p>
    <w:p>
      <w:pPr>
        <w:pStyle w:val="Heading1"/>
      </w:pPr>
      <w:r>
        <w:t>7 Limitations</w:t>
      </w:r>
    </w:p>
    <w:p>
      <w:pPr>
        <w:pStyle w:val="Heading2"/>
      </w:pPr>
      <w:r>
        <w:t>7.1 Benchmark Size</w:t>
      </w:r>
    </w:p>
    <w:p>
      <w:pPr>
        <w:spacing w:after="100" w:line="259" w:lineRule="auto"/>
      </w:pPr>
      <w:r>
        <w:rPr>
          <w:rFonts w:ascii="Times New Roman" w:hAnsi="Times New Roman"/>
          <w:sz w:val="21"/>
        </w:rPr>
        <w:t>The current study does not include a sufficiently large labeled benchmark.</w:t>
      </w:r>
    </w:p>
    <w:p>
      <w:pPr>
        <w:pStyle w:val="Heading2"/>
      </w:pPr>
      <w:r>
        <w:t>7.2 Search Volatility</w:t>
      </w:r>
    </w:p>
    <w:p>
      <w:pPr>
        <w:spacing w:after="100" w:line="259" w:lineRule="auto"/>
      </w:pPr>
      <w:r>
        <w:rPr>
          <w:rFonts w:ascii="Times New Roman" w:hAnsi="Times New Roman"/>
          <w:sz w:val="21"/>
        </w:rPr>
        <w:t>Web results can change over time, affecting exact reproducibility.</w:t>
      </w:r>
    </w:p>
    <w:p>
      <w:pPr>
        <w:pStyle w:val="Heading2"/>
      </w:pPr>
      <w:r>
        <w:t>7.3 Validation Dependence</w:t>
      </w:r>
    </w:p>
    <w:p>
      <w:pPr>
        <w:spacing w:after="100" w:line="259" w:lineRule="auto"/>
      </w:pPr>
      <w:r>
        <w:rPr>
          <w:rFonts w:ascii="Times New Roman" w:hAnsi="Times New Roman"/>
          <w:sz w:val="21"/>
        </w:rPr>
        <w:t>Language-model-based validation can itself make errors; independent checks are needed for rigorous evaluation.</w:t>
      </w:r>
    </w:p>
    <w:p>
      <w:pPr>
        <w:pStyle w:val="Heading2"/>
      </w:pPr>
      <w:r>
        <w:t>7.4 Source Quality</w:t>
      </w:r>
    </w:p>
    <w:p>
      <w:pPr>
        <w:spacing w:after="100" w:line="259" w:lineRule="auto"/>
      </w:pPr>
      <w:r>
        <w:rPr>
          <w:rFonts w:ascii="Times New Roman" w:hAnsi="Times New Roman"/>
          <w:sz w:val="21"/>
        </w:rPr>
        <w:t>Search relevance is not identical to authority; stronger source-quality scoring is future work.</w:t>
      </w:r>
    </w:p>
    <w:p>
      <w:pPr>
        <w:pStyle w:val="Heading2"/>
      </w:pPr>
      <w:r>
        <w:t>7.5 Cost and Latency</w:t>
      </w:r>
    </w:p>
    <w:p>
      <w:pPr>
        <w:spacing w:after="100" w:line="259" w:lineRule="auto"/>
      </w:pPr>
      <w:r>
        <w:rPr>
          <w:rFonts w:ascii="Times New Roman" w:hAnsi="Times New Roman"/>
          <w:sz w:val="21"/>
        </w:rPr>
        <w:t>Multiple searches and local LLM calls can increase latency. The current implementation limits tasks and queries.</w:t>
      </w:r>
    </w:p>
    <w:p>
      <w:pPr>
        <w:pStyle w:val="Heading2"/>
      </w:pPr>
      <w:r>
        <w:t>7.6 Metric Comparability</w:t>
      </w:r>
    </w:p>
    <w:p>
      <w:pPr>
        <w:spacing w:after="100" w:line="259" w:lineRule="auto"/>
      </w:pPr>
      <w:r>
        <w:rPr>
          <w:rFonts w:ascii="Times New Roman" w:hAnsi="Times New Roman"/>
          <w:sz w:val="21"/>
        </w:rPr>
        <w:t>Accuracy, Precision, Recall and F1 are meaningful only when task, labels, and dataset are comparable.</w:t>
      </w:r>
    </w:p>
    <w:p>
      <w:pPr>
        <w:pStyle w:val="Heading1"/>
      </w:pPr>
      <w:r>
        <w:t>8 Conclusion and Future Work</w:t>
      </w:r>
    </w:p>
    <w:p>
      <w:pPr>
        <w:pStyle w:val="Heading2"/>
      </w:pPr>
      <w:r>
        <w:t>8.1 Conclusion</w:t>
      </w:r>
    </w:p>
    <w:p>
      <w:pPr>
        <w:spacing w:after="100" w:line="259" w:lineRule="auto"/>
      </w:pPr>
      <w:r>
        <w:rPr>
          <w:rFonts w:ascii="Times New Roman" w:hAnsi="Times New Roman"/>
          <w:sz w:val="21"/>
        </w:rPr>
        <w:t>This paper presented an AI Multi-Agent Research Assistant integrating planning, web research, source filtering, hybrid retrieval, evidence validation, grounded synthesis, and automated report generation. The central contribution is an explicit end-to-end workflow built from established AI and information-retrieval components. The implemented system demonstrates functional integration through a FastAPI interface and local Llama 3.1 8B execution. The study avoids benchmark superiority claims without a sufficiently large evaluation set.</w:t>
      </w:r>
    </w:p>
    <w:p>
      <w:pPr>
        <w:pStyle w:val="Heading2"/>
      </w:pPr>
      <w:r>
        <w:t>8.2 Future Work</w:t>
      </w:r>
    </w:p>
    <w:p>
      <w:pPr>
        <w:pStyle w:val="Heading1"/>
      </w:pPr>
      <w:r>
        <w:t>Declarations</w:t>
      </w:r>
    </w:p>
    <w:p>
      <w:pPr>
        <w:spacing w:after="100" w:line="259" w:lineRule="auto"/>
      </w:pPr>
      <w:r>
        <w:rPr>
          <w:rFonts w:ascii="Times New Roman" w:hAnsi="Times New Roman"/>
          <w:sz w:val="21"/>
        </w:rPr>
        <w:t>Funding: No external funding is declared for this project. Conflict of Interest: The authors declare no known competing interests. Ethics Statement: The work uses publicly accessible web information and does not report experiments involving human participants or personal data. Data Availability: The system retrieves web evidence dynamically; source URLs and query logs should be archived for reproducible evaluation. Author Contributions: The student project team collaboratively contributed to system design, implementation, testing, and manuscript preparation; individual contributions should be finalized by the authors before submission.</w:t>
      </w:r>
    </w:p>
    <w:p>
      <w:pPr>
        <w:pStyle w:val="Heading1"/>
      </w:pPr>
      <w:r>
        <w:t>Acknowledgements</w:t>
      </w:r>
    </w:p>
    <w:p>
      <w:pPr>
        <w:spacing w:after="100" w:line="259" w:lineRule="auto"/>
      </w:pPr>
      <w:r>
        <w:rPr>
          <w:rFonts w:ascii="Times New Roman" w:hAnsi="Times New Roman"/>
          <w:sz w:val="21"/>
        </w:rPr>
        <w:t>The authors acknowledge the course faculty and project reviewers for their guidance and feedback. This statement should be revised if additional support or contributors need to be acknowledged.</w:t>
      </w:r>
    </w:p>
    <w:p>
      <w:pPr>
        <w:spacing w:after="100" w:line="259" w:lineRule="auto"/>
      </w:pPr>
      <w:r>
        <w:rPr>
          <w:rFonts w:ascii="Times New Roman" w:hAnsi="Times New Roman"/>
          <w:sz w:val="21"/>
        </w:rPr>
        <w:t>Future work will build a formal benchmark with diverse research questions and labeled evidence; evaluate claim-support Precision, Recall and F1; measure Recall@K and nDCG; assess citation correctness, latency and cost; improve source reliability and deduplication; and perform ablations of planning, filtering, hybrid retrieval, and validation. LangGraph and Docker can be added after systematic evaluation.</w:t>
      </w:r>
    </w:p>
    <w:p>
      <w:pPr>
        <w:pStyle w:val="Heading1"/>
      </w:pPr>
      <w:r>
        <w:t>Table 1. Current Functional Verification Status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Component</w:t>
            </w:r>
          </w:p>
        </w:tc>
        <w:tc>
          <w:tcPr>
            <w:tcW w:type="dxa" w:w="3264"/>
          </w:tcPr>
          <w:p>
            <w:r>
              <w:t>Status</w:t>
            </w:r>
          </w:p>
        </w:tc>
        <w:tc>
          <w:tcPr>
            <w:tcW w:type="dxa" w:w="3264"/>
          </w:tcPr>
          <w:p>
            <w:r>
              <w:t>Evidence</w:t>
            </w:r>
          </w:p>
        </w:tc>
      </w:tr>
      <w:tr>
        <w:tc>
          <w:tcPr>
            <w:tcW w:type="dxa" w:w="3264"/>
          </w:tcPr>
          <w:p>
            <w:r>
              <w:t>Planner Agent</w:t>
            </w:r>
          </w:p>
        </w:tc>
        <w:tc>
          <w:tcPr>
            <w:tcW w:type="dxa" w:w="3264"/>
          </w:tcPr>
          <w:p>
            <w:r>
              <w:t>Implemented</w:t>
            </w:r>
          </w:p>
        </w:tc>
        <w:tc>
          <w:tcPr>
            <w:tcW w:type="dxa" w:w="3264"/>
          </w:tcPr>
          <w:p>
            <w:r>
              <w:t>End-to-end execution</w:t>
            </w:r>
          </w:p>
        </w:tc>
      </w:tr>
      <w:tr>
        <w:tc>
          <w:tcPr>
            <w:tcW w:type="dxa" w:w="3264"/>
          </w:tcPr>
          <w:p>
            <w:r>
              <w:t>Tavily Web Research</w:t>
            </w:r>
          </w:p>
        </w:tc>
        <w:tc>
          <w:tcPr>
            <w:tcW w:type="dxa" w:w="3264"/>
          </w:tcPr>
          <w:p>
            <w:r>
              <w:t>Implemented</w:t>
            </w:r>
          </w:p>
        </w:tc>
        <w:tc>
          <w:tcPr>
            <w:tcW w:type="dxa" w:w="3264"/>
          </w:tcPr>
          <w:p>
            <w:r>
              <w:t>Live source retrieval</w:t>
            </w:r>
          </w:p>
        </w:tc>
      </w:tr>
      <w:tr>
        <w:tc>
          <w:tcPr>
            <w:tcW w:type="dxa" w:w="3264"/>
          </w:tcPr>
          <w:p>
            <w:r>
              <w:t>Source Filtering</w:t>
            </w:r>
          </w:p>
        </w:tc>
        <w:tc>
          <w:tcPr>
            <w:tcW w:type="dxa" w:w="3264"/>
          </w:tcPr>
          <w:p>
            <w:r>
              <w:t>Implemented</w:t>
            </w:r>
          </w:p>
        </w:tc>
        <w:tc>
          <w:tcPr>
            <w:tcW w:type="dxa" w:w="3264"/>
          </w:tcPr>
          <w:p>
            <w:r>
              <w:t>Pipeline execution</w:t>
            </w:r>
          </w:p>
        </w:tc>
      </w:tr>
      <w:tr>
        <w:tc>
          <w:tcPr>
            <w:tcW w:type="dxa" w:w="3264"/>
          </w:tcPr>
          <w:p>
            <w:r>
              <w:t>Hybrid RAG / FAISS</w:t>
            </w:r>
          </w:p>
        </w:tc>
        <w:tc>
          <w:tcPr>
            <w:tcW w:type="dxa" w:w="3264"/>
          </w:tcPr>
          <w:p>
            <w:r>
              <w:t>Implemented</w:t>
            </w:r>
          </w:p>
        </w:tc>
        <w:tc>
          <w:tcPr>
            <w:tcW w:type="dxa" w:w="3264"/>
          </w:tcPr>
          <w:p>
            <w:r>
              <w:t>Retrieval execution</w:t>
            </w:r>
          </w:p>
        </w:tc>
      </w:tr>
      <w:tr>
        <w:tc>
          <w:tcPr>
            <w:tcW w:type="dxa" w:w="3264"/>
          </w:tcPr>
          <w:p>
            <w:r>
              <w:t>Validation Agent</w:t>
            </w:r>
          </w:p>
        </w:tc>
        <w:tc>
          <w:tcPr>
            <w:tcW w:type="dxa" w:w="3264"/>
          </w:tcPr>
          <w:p>
            <w:r>
              <w:t>Implemented</w:t>
            </w:r>
          </w:p>
        </w:tc>
        <w:tc>
          <w:tcPr>
            <w:tcW w:type="dxa" w:w="3264"/>
          </w:tcPr>
          <w:p>
            <w:r>
              <w:t>Evidence-status classification</w:t>
            </w:r>
          </w:p>
        </w:tc>
      </w:tr>
      <w:tr>
        <w:tc>
          <w:tcPr>
            <w:tcW w:type="dxa" w:w="3264"/>
          </w:tcPr>
          <w:p>
            <w:r>
              <w:t>Llama 3.1 8B + Ollama</w:t>
            </w:r>
          </w:p>
        </w:tc>
        <w:tc>
          <w:tcPr>
            <w:tcW w:type="dxa" w:w="3264"/>
          </w:tcPr>
          <w:p>
            <w:r>
              <w:t>Implemented</w:t>
            </w:r>
          </w:p>
        </w:tc>
        <w:tc>
          <w:tcPr>
            <w:tcW w:type="dxa" w:w="3264"/>
          </w:tcPr>
          <w:p>
            <w:r>
              <w:t>Local synthesis</w:t>
            </w:r>
          </w:p>
        </w:tc>
      </w:tr>
      <w:tr>
        <w:tc>
          <w:tcPr>
            <w:tcW w:type="dxa" w:w="3264"/>
          </w:tcPr>
          <w:p>
            <w:r>
              <w:t>FastAPI</w:t>
            </w:r>
          </w:p>
        </w:tc>
        <w:tc>
          <w:tcPr>
            <w:tcW w:type="dxa" w:w="3264"/>
          </w:tcPr>
          <w:p>
            <w:r>
              <w:t>Implemented</w:t>
            </w:r>
          </w:p>
        </w:tc>
        <w:tc>
          <w:tcPr>
            <w:tcW w:type="dxa" w:w="3264"/>
          </w:tcPr>
          <w:p>
            <w:r>
              <w:t>Web research endpoint</w:t>
            </w:r>
          </w:p>
        </w:tc>
      </w:tr>
      <w:tr>
        <w:tc>
          <w:tcPr>
            <w:tcW w:type="dxa" w:w="3264"/>
          </w:tcPr>
          <w:p>
            <w:r>
              <w:t>ReportLab</w:t>
            </w:r>
          </w:p>
        </w:tc>
        <w:tc>
          <w:tcPr>
            <w:tcW w:type="dxa" w:w="3264"/>
          </w:tcPr>
          <w:p>
            <w:r>
              <w:t>Implemented</w:t>
            </w:r>
          </w:p>
        </w:tc>
        <w:tc>
          <w:tcPr>
            <w:tcW w:type="dxa" w:w="3264"/>
          </w:tcPr>
          <w:p>
            <w:r>
              <w:t>PDF report generation</w:t>
            </w:r>
          </w:p>
        </w:tc>
      </w:tr>
      <w:tr>
        <w:tc>
          <w:tcPr>
            <w:tcW w:type="dxa" w:w="3264"/>
          </w:tcPr>
          <w:p>
            <w:r>
              <w:t>LangGraph</w:t>
            </w:r>
          </w:p>
        </w:tc>
        <w:tc>
          <w:tcPr>
            <w:tcW w:type="dxa" w:w="3264"/>
          </w:tcPr>
          <w:p>
            <w:r>
              <w:t>Planned</w:t>
            </w:r>
          </w:p>
        </w:tc>
        <w:tc>
          <w:tcPr>
            <w:tcW w:type="dxa" w:w="3264"/>
          </w:tcPr>
          <w:p>
            <w:r>
              <w:t>Not claimed as current</w:t>
            </w:r>
          </w:p>
        </w:tc>
      </w:tr>
      <w:tr>
        <w:tc>
          <w:tcPr>
            <w:tcW w:type="dxa" w:w="3264"/>
          </w:tcPr>
          <w:p>
            <w:r>
              <w:t>Docker</w:t>
            </w:r>
          </w:p>
        </w:tc>
        <w:tc>
          <w:tcPr>
            <w:tcW w:type="dxa" w:w="3264"/>
          </w:tcPr>
          <w:p>
            <w:r>
              <w:t>Planned</w:t>
            </w:r>
          </w:p>
        </w:tc>
        <w:tc>
          <w:tcPr>
            <w:tcW w:type="dxa" w:w="3264"/>
          </w:tcPr>
          <w:p>
            <w:r>
              <w:t>Not claimed as current</w:t>
            </w:r>
          </w:p>
        </w:tc>
      </w:tr>
    </w:tbl>
    <w:p>
      <w:pPr>
        <w:pStyle w:val="Heading1"/>
      </w:pPr>
      <w:r>
        <w:t>References</w:t>
      </w:r>
    </w:p>
    <w:p>
      <w:pPr>
        <w:spacing w:after="100" w:line="259" w:lineRule="auto"/>
      </w:pPr>
      <w:r>
        <w:rPr>
          <w:rFonts w:ascii="Times New Roman" w:hAnsi="Times New Roman"/>
          <w:sz w:val="21"/>
        </w:rPr>
        <w:t>[1] Lewis, P., Perez, E., Piktus, A., et al. (2020). Retrieval-Augmented Generation for Knowledge-Intensive NLP Tasks. NeurIPS.</w:t>
      </w:r>
    </w:p>
    <w:p>
      <w:pPr>
        <w:spacing w:after="100" w:line="259" w:lineRule="auto"/>
      </w:pPr>
      <w:r>
        <w:rPr>
          <w:rFonts w:ascii="Times New Roman" w:hAnsi="Times New Roman"/>
          <w:sz w:val="21"/>
        </w:rPr>
        <w:t>[2] Guu, K., Lee, K., Tung, Z., Pasupat, P., &amp; Chang, M.-W. (2020). REALM: Retrieval-Augmented Language Model Pre-Training. ICML.</w:t>
      </w:r>
    </w:p>
    <w:p>
      <w:pPr>
        <w:spacing w:after="100" w:line="259" w:lineRule="auto"/>
      </w:pPr>
      <w:r>
        <w:rPr>
          <w:rFonts w:ascii="Times New Roman" w:hAnsi="Times New Roman"/>
          <w:sz w:val="21"/>
        </w:rPr>
        <w:t>[3] Karpukhin, V., Oguz, B., Min, S., et al. (2020). Dense Passage Retrieval for Open-Domain Question Answering. EMNLP.</w:t>
      </w:r>
    </w:p>
    <w:p>
      <w:pPr>
        <w:spacing w:after="100" w:line="259" w:lineRule="auto"/>
      </w:pPr>
      <w:r>
        <w:rPr>
          <w:rFonts w:ascii="Times New Roman" w:hAnsi="Times New Roman"/>
          <w:sz w:val="21"/>
        </w:rPr>
        <w:t>[4] Johnson, J., Douze, M., &amp; Jégou, H. (2017). Billion-scale similarity search with GPUs. IEEE Transactions on Big Data.</w:t>
      </w:r>
    </w:p>
    <w:p>
      <w:pPr>
        <w:spacing w:after="100" w:line="259" w:lineRule="auto"/>
      </w:pPr>
      <w:r>
        <w:rPr>
          <w:rFonts w:ascii="Times New Roman" w:hAnsi="Times New Roman"/>
          <w:sz w:val="21"/>
        </w:rPr>
        <w:t>[5] Khattab, O., &amp; Zaharia, M. (2020). ColBERT: Efficient and Effective Passage Search via Contextualized Late Interaction over BERT. SIGIR.</w:t>
      </w:r>
    </w:p>
    <w:p>
      <w:pPr>
        <w:spacing w:after="100" w:line="259" w:lineRule="auto"/>
      </w:pPr>
      <w:r>
        <w:rPr>
          <w:rFonts w:ascii="Times New Roman" w:hAnsi="Times New Roman"/>
          <w:sz w:val="21"/>
        </w:rPr>
        <w:t>[6] Yao, S., Zhao, J., Yu, D., et al. (2023). ReAct: Synergizing Reasoning and Acting in Language Models. ICLR.</w:t>
      </w:r>
    </w:p>
    <w:p>
      <w:pPr>
        <w:spacing w:after="100" w:line="259" w:lineRule="auto"/>
      </w:pPr>
      <w:r>
        <w:rPr>
          <w:rFonts w:ascii="Times New Roman" w:hAnsi="Times New Roman"/>
          <w:sz w:val="21"/>
        </w:rPr>
        <w:t>[7] Schick, T., Dwivedi-Yu, J., Dessì, R., et al. (2023). Toolformer: Language Models Can Teach Themselves to Use Tools. NeurIPS.</w:t>
      </w:r>
    </w:p>
    <w:p>
      <w:pPr>
        <w:spacing w:after="100" w:line="259" w:lineRule="auto"/>
      </w:pPr>
      <w:r>
        <w:rPr>
          <w:rFonts w:ascii="Times New Roman" w:hAnsi="Times New Roman"/>
          <w:sz w:val="21"/>
        </w:rPr>
        <w:t>[8] Li, G., Hammoud, H., Itani, H., Khizbullin, D., &amp; Ghanem, B. (2023). CAMEL: Communicative Agents for Mind Exploration of Large Scale Language Model Society. arXiv.</w:t>
      </w:r>
    </w:p>
    <w:p>
      <w:pPr>
        <w:spacing w:after="100" w:line="259" w:lineRule="auto"/>
      </w:pPr>
      <w:r>
        <w:rPr>
          <w:rFonts w:ascii="Times New Roman" w:hAnsi="Times New Roman"/>
          <w:sz w:val="21"/>
        </w:rPr>
        <w:t>[9] Wu, Q., Bansal, G., Zhang, J., et al. (2023). AutoGen: Enabling Next-Gen LLM Applications via Multi-Agent Conversation. arXiv:2308.08155.</w:t>
      </w:r>
    </w:p>
    <w:p>
      <w:pPr>
        <w:spacing w:after="100" w:line="259" w:lineRule="auto"/>
      </w:pPr>
      <w:r>
        <w:rPr>
          <w:rFonts w:ascii="Times New Roman" w:hAnsi="Times New Roman"/>
          <w:sz w:val="21"/>
        </w:rPr>
        <w:t>[10] Asai, A., Wu, Z., Wang, Y., Sil, A., &amp; Hajishirzi, H. (2024). Self-RAG: Learning to Retrieve, Generate, and Critique Through Self-Reflection. ICLR.</w:t>
      </w:r>
    </w:p>
    <w:p>
      <w:pPr>
        <w:spacing w:after="100" w:line="259" w:lineRule="auto"/>
      </w:pPr>
      <w:r>
        <w:rPr>
          <w:rFonts w:ascii="Times New Roman" w:hAnsi="Times New Roman"/>
          <w:sz w:val="21"/>
        </w:rPr>
        <w:t>[11] Mialon, G., Fourrier, C., Swift, C., et al. (2023). GAIA: a benchmark for General AI Assistants. arXiv:2311.12983.</w:t>
      </w:r>
    </w:p>
    <w:p>
      <w:pPr>
        <w:spacing w:after="100" w:line="259" w:lineRule="auto"/>
      </w:pPr>
      <w:r>
        <w:rPr>
          <w:rFonts w:ascii="Times New Roman" w:hAnsi="Times New Roman"/>
          <w:sz w:val="21"/>
        </w:rPr>
        <w:t>[12] Liu, N. F., Lin, K., Hewitt, J., et al. (2024). Lost in the Middle: How Language Models Use Long Contexts. TACL, 12, 157–173.</w:t>
      </w:r>
    </w:p>
    <w:p>
      <w:pPr>
        <w:spacing w:after="100" w:line="259" w:lineRule="auto"/>
      </w:pPr>
      <w:r>
        <w:rPr>
          <w:rFonts w:ascii="Times New Roman" w:hAnsi="Times New Roman"/>
          <w:sz w:val="21"/>
        </w:rPr>
        <w:t>[13] Gao, Y., Xiong, Y., Gao, X., et al. (2023). Retrieval-Augmented Generation for Large Language Models: A Survey. arXiv:2312.10997.</w:t>
      </w:r>
    </w:p>
    <w:p>
      <w:pPr>
        <w:spacing w:after="100" w:line="259" w:lineRule="auto"/>
      </w:pPr>
      <w:r>
        <w:rPr>
          <w:rFonts w:ascii="Times New Roman" w:hAnsi="Times New Roman"/>
          <w:sz w:val="21"/>
        </w:rPr>
        <w:t>[14] Wei, J., Wang, X., Schuurmans, D., et al. (2022). Chain-of-Thought Prompting Elicits Reasoning in Large Language Models. NeurIPS.</w:t>
      </w:r>
    </w:p>
    <w:p>
      <w:pPr>
        <w:spacing w:after="100" w:line="259" w:lineRule="auto"/>
      </w:pPr>
      <w:r>
        <w:rPr>
          <w:rFonts w:ascii="Times New Roman" w:hAnsi="Times New Roman"/>
          <w:sz w:val="21"/>
        </w:rPr>
        <w:t>[15] Kojima, T., Gu, S. S., Reid, M., Matsuo, Y., &amp; Iwasawa, Y. (2022). Large Language Models are Zero-Shot Reasoners. NeurIPS.</w:t>
      </w:r>
    </w:p>
    <w:p>
      <w:pPr>
        <w:spacing w:after="100" w:line="259" w:lineRule="auto"/>
      </w:pPr>
      <w:r>
        <w:rPr>
          <w:rFonts w:ascii="Times New Roman" w:hAnsi="Times New Roman"/>
          <w:sz w:val="21"/>
        </w:rPr>
        <w:t>[16] Brown, T. B., Mann, B., Ryder, N., et al. (2020). Language Models are Few-Shot Learners. NeurIPS.</w:t>
      </w:r>
    </w:p>
    <w:p>
      <w:pPr>
        <w:spacing w:after="100" w:line="259" w:lineRule="auto"/>
      </w:pPr>
      <w:r>
        <w:rPr>
          <w:rFonts w:ascii="Times New Roman" w:hAnsi="Times New Roman"/>
          <w:sz w:val="21"/>
        </w:rPr>
        <w:t>[17] Ouyang, L., Wu, J., Jiang, X., et al. (2022). Training language models to follow instructions with human feedback. NeurIPS.</w:t>
      </w:r>
    </w:p>
    <w:p>
      <w:pPr>
        <w:spacing w:after="100" w:line="259" w:lineRule="auto"/>
      </w:pPr>
      <w:r>
        <w:rPr>
          <w:rFonts w:ascii="Times New Roman" w:hAnsi="Times New Roman"/>
          <w:sz w:val="21"/>
        </w:rPr>
        <w:t>[18] Vaswani, A., Shazeer, N., Parmar, N., et al. (2017). Attention Is All You Need. NeurIPS.</w:t>
      </w:r>
    </w:p>
    <w:p>
      <w:pPr>
        <w:spacing w:after="100" w:line="259" w:lineRule="auto"/>
      </w:pPr>
      <w:r>
        <w:rPr>
          <w:rFonts w:ascii="Times New Roman" w:hAnsi="Times New Roman"/>
          <w:sz w:val="21"/>
        </w:rPr>
        <w:t>[19] Touvron, H., Martin, L., Stone, K., et al. (2023). Llama 2: Open Foundation and Fine-Tuned Chat Models. arXiv:2307.09288.</w:t>
      </w:r>
    </w:p>
    <w:p>
      <w:pPr>
        <w:spacing w:after="100" w:line="259" w:lineRule="auto"/>
      </w:pPr>
      <w:r>
        <w:rPr>
          <w:rFonts w:ascii="Times New Roman" w:hAnsi="Times New Roman"/>
          <w:sz w:val="21"/>
        </w:rPr>
        <w:t>[20] Grattafiori, A., Dubey, A., Jauhri, A., et al. (2024). The Llama 3 Herd of Models. arXiv:2407.21783.</w:t>
      </w:r>
    </w:p>
    <w:p>
      <w:pPr>
        <w:spacing w:after="100" w:line="259" w:lineRule="auto"/>
      </w:pPr>
      <w:r>
        <w:rPr>
          <w:rFonts w:ascii="Times New Roman" w:hAnsi="Times New Roman"/>
          <w:sz w:val="21"/>
        </w:rPr>
        <w:t>[21] Wei, J., Tay, Y., Bommasani, R., et al. (2022). Emergent Abilities of Large Language Models. TMLR.</w:t>
      </w:r>
    </w:p>
    <w:p>
      <w:pPr>
        <w:spacing w:after="100" w:line="259" w:lineRule="auto"/>
      </w:pPr>
      <w:r>
        <w:rPr>
          <w:rFonts w:ascii="Times New Roman" w:hAnsi="Times New Roman"/>
          <w:sz w:val="21"/>
        </w:rPr>
        <w:t>[22] Shuster, K., Poff, S., Chen, M., et al. (2022). Retrieval Augmentation Reduces Hallucination in Conversation. Findings of EMNLP.</w:t>
      </w:r>
    </w:p>
    <w:p>
      <w:pPr>
        <w:spacing w:after="100" w:line="259" w:lineRule="auto"/>
      </w:pPr>
      <w:r>
        <w:rPr>
          <w:rFonts w:ascii="Times New Roman" w:hAnsi="Times New Roman"/>
          <w:sz w:val="21"/>
        </w:rPr>
        <w:t>[23] Ram, O., Levine, Y., Dalmedigos, I., et al. (2023). In-Context Retrieval-Augmented Language Models. TACL.</w:t>
      </w:r>
    </w:p>
    <w:p>
      <w:pPr>
        <w:spacing w:after="100" w:line="259" w:lineRule="auto"/>
      </w:pPr>
      <w:r>
        <w:rPr>
          <w:rFonts w:ascii="Times New Roman" w:hAnsi="Times New Roman"/>
          <w:sz w:val="21"/>
        </w:rPr>
        <w:t>[24] Min, S., Lewis, P., Hajishirzi, H., &amp; Zettlemoyer, L. (2022). Rethinking the Role of Demonstrations: What Makes In-Context Learning Work? EMNLP.</w:t>
      </w:r>
    </w:p>
    <w:p>
      <w:pPr>
        <w:spacing w:after="100" w:line="259" w:lineRule="auto"/>
      </w:pPr>
      <w:r>
        <w:rPr>
          <w:rFonts w:ascii="Times New Roman" w:hAnsi="Times New Roman"/>
          <w:sz w:val="21"/>
        </w:rPr>
        <w:t>[25] Mallen, A., Asai, A., Zhong, V., et al. (2023). When Not to Trust Language Models: Investigating Effectiveness of Parametric and Non-Parametric Memories. ACL.</w:t>
      </w:r>
    </w:p>
    <w:p>
      <w:pPr>
        <w:spacing w:after="100" w:line="259" w:lineRule="auto"/>
      </w:pPr>
      <w:r>
        <w:rPr>
          <w:rFonts w:ascii="Times New Roman" w:hAnsi="Times New Roman"/>
          <w:sz w:val="21"/>
        </w:rPr>
        <w:t>[26] OpenAI. (2025). BrowseComp: A benchmark for browsing agents. OpenAI Research.</w:t>
      </w:r>
    </w:p>
    <w:p>
      <w:pPr>
        <w:spacing w:after="100" w:line="259" w:lineRule="auto"/>
      </w:pPr>
      <w:r>
        <w:rPr>
          <w:rFonts w:ascii="Times New Roman" w:hAnsi="Times New Roman"/>
          <w:sz w:val="21"/>
        </w:rPr>
        <w:t>[27] OpenAI. (2025). Introducing deep research. OpenAI.</w:t>
      </w:r>
    </w:p>
    <w:p>
      <w:pPr>
        <w:spacing w:after="100" w:line="259" w:lineRule="auto"/>
      </w:pPr>
      <w:r>
        <w:rPr>
          <w:rFonts w:ascii="Times New Roman" w:hAnsi="Times New Roman"/>
          <w:sz w:val="21"/>
        </w:rPr>
        <w:t>[28] Meta AI. (2024). The Llama 3.1 Herd of Models / Llama 3.1 documentation.</w:t>
      </w:r>
    </w:p>
    <w:p>
      <w:pPr>
        <w:spacing w:after="100" w:line="259" w:lineRule="auto"/>
      </w:pPr>
      <w:r>
        <w:rPr>
          <w:rFonts w:ascii="Times New Roman" w:hAnsi="Times New Roman"/>
          <w:sz w:val="21"/>
        </w:rPr>
        <w:t>[29] Tavily. (2025). Tavily Search API documentation.</w:t>
      </w:r>
    </w:p>
    <w:p>
      <w:pPr>
        <w:spacing w:after="100" w:line="259" w:lineRule="auto"/>
      </w:pPr>
      <w:r>
        <w:rPr>
          <w:rFonts w:ascii="Times New Roman" w:hAnsi="Times New Roman"/>
          <w:sz w:val="21"/>
        </w:rPr>
        <w:t>[30] ReportLab. (2025). ReportLab PDF Toolkit documentation.</w:t>
      </w:r>
    </w:p>
    <w:p>
      <w:pPr>
        <w:pStyle w:val="Heading1"/>
      </w:pPr>
      <w:r>
        <w:t>Appendix A – Reproducibility Checklist</w:t>
      </w:r>
    </w:p>
    <w:p>
      <w:pPr>
        <w:pStyle w:val="ListBullet"/>
      </w:pPr>
      <w:r>
        <w:t>Record research question and timestamp.</w:t>
      </w:r>
    </w:p>
    <w:p>
      <w:pPr>
        <w:pStyle w:val="ListBullet"/>
      </w:pPr>
      <w:r>
        <w:t>Record planner tasks and search queries.</w:t>
      </w:r>
    </w:p>
    <w:p>
      <w:pPr>
        <w:pStyle w:val="ListBullet"/>
      </w:pPr>
      <w:r>
        <w:t>Archive retrieved source metadata and permitted evidence.</w:t>
      </w:r>
    </w:p>
    <w:p>
      <w:pPr>
        <w:pStyle w:val="ListBullet"/>
      </w:pPr>
      <w:r>
        <w:t>Record filtered sources and retrieved evidence.</w:t>
      </w:r>
    </w:p>
    <w:p>
      <w:pPr>
        <w:pStyle w:val="ListBullet"/>
      </w:pPr>
      <w:r>
        <w:t>Record validation labels and confidence.</w:t>
      </w:r>
    </w:p>
    <w:p>
      <w:pPr>
        <w:pStyle w:val="ListBullet"/>
      </w:pPr>
      <w:r>
        <w:t>Store final answer and generated PDF.</w:t>
      </w:r>
    </w:p>
    <w:p>
      <w:pPr>
        <w:pStyle w:val="ListBullet"/>
      </w:pPr>
      <w:r>
        <w:t>Report runtime, search count, model configuration and retrieval parameters.</w:t>
      </w:r>
    </w:p>
    <w:sectPr w:rsidR="00FC693F" w:rsidRPr="0006063C" w:rsidSect="00034616">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Multi-Agent Research Assistant | Research Paper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