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BC8" w:rsidRDefault="00EF028E">
      <w:pPr>
        <w:pStyle w:val="Heading1"/>
      </w:pPr>
      <w:bookmarkStart w:id="0" w:name="oho22lof9zvm" w:colFirst="0" w:colLast="0"/>
      <w:bookmarkStart w:id="1" w:name="fw98njnb6oqf" w:colFirst="0" w:colLast="0"/>
      <w:bookmarkStart w:id="2" w:name="cr26izy192qo" w:colFirst="0" w:colLast="0"/>
      <w:bookmarkStart w:id="3" w:name="_Toc243863195"/>
      <w:bookmarkStart w:id="4" w:name="_GoBack"/>
      <w:bookmarkEnd w:id="0"/>
      <w:bookmarkEnd w:id="1"/>
      <w:bookmarkEnd w:id="2"/>
      <w:bookmarkEnd w:id="4"/>
      <w:r>
        <w:t>APPENDIX A: LITERATURE SEARCH DETAILS</w:t>
      </w:r>
      <w:bookmarkEnd w:id="3"/>
      <w:r>
        <w:fldChar w:fldCharType="begin"/>
      </w:r>
      <w:r>
        <w:instrText xml:space="preserve"> TC "</w:instrText>
      </w:r>
      <w:bookmarkStart w:id="5" w:name="_Toc243863273"/>
      <w:r>
        <w:instrText>APPENDIX A: LITERATURE SEARCH DETAILS</w:instrText>
      </w:r>
      <w:bookmarkEnd w:id="5"/>
      <w:r>
        <w:instrText xml:space="preserve">" \f A \l 1 </w:instrText>
      </w:r>
      <w:r>
        <w:fldChar w:fldCharType="end"/>
      </w:r>
    </w:p>
    <w:p w:rsidR="00870BC8" w:rsidRDefault="00EF028E" w:rsidP="0089738B">
      <w:pPr>
        <w:pBdr>
          <w:top w:val="nil"/>
          <w:left w:val="nil"/>
          <w:bottom w:val="nil"/>
          <w:right w:val="nil"/>
          <w:between w:val="nil"/>
        </w:pBdr>
        <w:spacing w:after="140" w:line="240" w:lineRule="auto"/>
        <w:rPr>
          <w:color w:val="000000"/>
        </w:rPr>
      </w:pPr>
      <w:bookmarkStart w:id="6" w:name="dap9whvmceoh" w:colFirst="0" w:colLast="0"/>
      <w:bookmarkEnd w:id="6"/>
      <w:r>
        <w:rPr>
          <w:color w:val="000000"/>
        </w:rPr>
        <w:t>This appendix records the search scope and source checks supporting Chapter 2. The August search records are incomplete: PubMed S1 contains 10 received records against 15 recorded hits; the 12-result S3 export and contemporaneous confirmation of S2's zero results are unavailable. Each received ACM export contains 20 records, without verified total hits or retrieval completeness. The review is narrative rather than systematic; detailed queries and reconciliation records are retained in the Evidence Companion.</w:t>
      </w:r>
    </w:p>
    <w:p w:rsidR="00870BC8" w:rsidRDefault="00EF028E" w:rsidP="0089738B">
      <w:pPr>
        <w:pStyle w:val="Heading2"/>
      </w:pPr>
      <w:bookmarkStart w:id="7" w:name="qcsxt26f2y80" w:colFirst="0" w:colLast="0"/>
      <w:bookmarkStart w:id="8" w:name="_Toc243863196"/>
      <w:bookmarkEnd w:id="7"/>
      <w:r>
        <w:t>A.1 Databases, time coverage, and search date</w:t>
      </w:r>
      <w:bookmarkEnd w:id="8"/>
    </w:p>
    <w:p w:rsidR="00870BC8" w:rsidRDefault="00EF028E" w:rsidP="0089738B">
      <w:pPr>
        <w:pBdr>
          <w:top w:val="nil"/>
          <w:left w:val="nil"/>
          <w:bottom w:val="nil"/>
          <w:right w:val="nil"/>
          <w:between w:val="nil"/>
        </w:pBdr>
        <w:spacing w:after="140" w:line="240" w:lineRule="auto"/>
        <w:rPr>
          <w:color w:val="000000"/>
        </w:rPr>
      </w:pPr>
      <w:r>
        <w:rPr>
          <w:color w:val="000000"/>
        </w:rPr>
        <w:t>PubMed/MEDLINE searches were dated 10 August 2026; Scopus, Web of Science Core Collection, IEEE Xplore and ACM Digital Library searches were dated 11 August. Intended coverage began in 2000 for direct EHR studies and 2016 for federated methods, retaining English full texts. Equivalent interface restrictions were not fully recorded; Web of Science S2 has no documented separate 2016 restriction.</w:t>
      </w:r>
    </w:p>
    <w:p w:rsidR="00870BC8" w:rsidRDefault="00EF028E" w:rsidP="0089738B">
      <w:pPr>
        <w:pStyle w:val="Heading2"/>
      </w:pPr>
      <w:bookmarkStart w:id="9" w:name="tn4vqtdn1hna" w:colFirst="0" w:colLast="0"/>
      <w:bookmarkStart w:id="10" w:name="_Toc243863197"/>
      <w:bookmarkEnd w:id="9"/>
      <w:r>
        <w:t>A.2 Inclusion and exclusion criteria</w:t>
      </w:r>
      <w:bookmarkEnd w:id="10"/>
    </w:p>
    <w:tbl>
      <w:tblPr>
        <w:tblStyle w:val="afd"/>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7"/>
        <w:gridCol w:w="3628"/>
        <w:gridCol w:w="3628"/>
      </w:tblGrid>
      <w:tr w:rsidR="00870BC8">
        <w:trPr>
          <w:cantSplit/>
          <w:tblHeader/>
          <w:jc w:val="center"/>
        </w:trPr>
        <w:tc>
          <w:tcPr>
            <w:tcW w:w="1247"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Category</w:t>
            </w:r>
          </w:p>
        </w:tc>
        <w:tc>
          <w:tcPr>
            <w:tcW w:w="3628"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Included</w:t>
            </w:r>
          </w:p>
        </w:tc>
        <w:tc>
          <w:tcPr>
            <w:tcW w:w="3628" w:type="dxa"/>
            <w:shd w:val="clear" w:color="auto" w:fill="F0F0F0"/>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Excluded</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Domain</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EHR/EMR access or audit anomaly detection.</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r>
              <w:rPr>
                <w:sz w:val="20"/>
                <w:szCs w:val="20"/>
              </w:rPr>
              <w:t>Clinical values, notes, images, signals or patient outcomes.</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Methods</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Empirical EHR detection; separately identified transferable FL, security and evaluation methods.</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r>
              <w:rPr>
                <w:sz w:val="20"/>
                <w:szCs w:val="20"/>
              </w:rPr>
              <w:t>Unrelated IDS or architecture-only work without relevant evidence.</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Publication</w:t>
            </w:r>
          </w:p>
        </w:tc>
        <w:tc>
          <w:tcPr>
            <w:tcW w:w="36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Peer-reviewed full papers; preprints and contextual sources identified separately.</w:t>
            </w:r>
          </w:p>
        </w:tc>
        <w:tc>
          <w:tcPr>
            <w:tcW w:w="3628" w:type="dxa"/>
            <w:tcMar>
              <w:top w:w="65" w:type="dxa"/>
              <w:left w:w="65" w:type="dxa"/>
              <w:bottom w:w="65" w:type="dxa"/>
              <w:right w:w="65" w:type="dxa"/>
            </w:tcMar>
            <w:vAlign w:val="center"/>
          </w:tcPr>
          <w:p w:rsidR="00870BC8" w:rsidRDefault="00EF028E" w:rsidP="0089738B">
            <w:pPr>
              <w:keepLines/>
              <w:spacing w:after="20" w:line="252" w:lineRule="auto"/>
              <w:jc w:val="left"/>
            </w:pPr>
            <w:bookmarkStart w:id="11" w:name="cqp4d44lffj8" w:colFirst="0" w:colLast="0"/>
            <w:bookmarkEnd w:id="11"/>
            <w:r>
              <w:rPr>
                <w:sz w:val="20"/>
                <w:szCs w:val="20"/>
              </w:rPr>
              <w:t>Abstracts, metadata or excerpts lacking the method/results needed for synthesis.</w:t>
            </w:r>
          </w:p>
        </w:tc>
      </w:tr>
      <w:tr w:rsidR="00870BC8">
        <w:trPr>
          <w:cantSplit/>
          <w:jc w:val="center"/>
        </w:trPr>
        <w:tc>
          <w:tcPr>
            <w:tcW w:w="124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Language</w:t>
            </w:r>
          </w:p>
        </w:tc>
        <w:tc>
          <w:tcPr>
            <w:tcW w:w="36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English-language sources.</w:t>
            </w:r>
          </w:p>
        </w:tc>
        <w:tc>
          <w:tcPr>
            <w:tcW w:w="3628" w:type="dxa"/>
            <w:tcMar>
              <w:top w:w="65" w:type="dxa"/>
              <w:left w:w="65" w:type="dxa"/>
              <w:bottom w:w="65" w:type="dxa"/>
              <w:right w:w="65" w:type="dxa"/>
            </w:tcMar>
            <w:vAlign w:val="center"/>
          </w:tcPr>
          <w:p w:rsidR="00870BC8" w:rsidRDefault="00EF028E" w:rsidP="0089738B">
            <w:pPr>
              <w:keepNext/>
              <w:keepLines/>
              <w:spacing w:after="20" w:line="252" w:lineRule="auto"/>
              <w:jc w:val="left"/>
            </w:pPr>
            <w:r>
              <w:rPr>
                <w:sz w:val="20"/>
                <w:szCs w:val="20"/>
              </w:rPr>
              <w:t>Non-English full texts without reliable translation.</w:t>
            </w:r>
          </w:p>
        </w:tc>
      </w:tr>
    </w:tbl>
    <w:p w:rsidR="00870BC8" w:rsidRDefault="00EF028E" w:rsidP="0089738B">
      <w:pPr>
        <w:pBdr>
          <w:top w:val="nil"/>
          <w:left w:val="nil"/>
          <w:bottom w:val="nil"/>
          <w:right w:val="nil"/>
          <w:between w:val="nil"/>
        </w:pBdr>
        <w:spacing w:after="140" w:line="240" w:lineRule="auto"/>
        <w:rPr>
          <w:color w:val="000000"/>
        </w:rPr>
      </w:pPr>
      <w:bookmarkStart w:id="12" w:name="myr7p2pyuriu" w:colFirst="0" w:colLast="0"/>
      <w:bookmarkEnd w:id="12"/>
      <w:r>
        <w:rPr>
          <w:color w:val="000000"/>
        </w:rPr>
        <w:t>The bibliography combines direct EHR-access studies with separately identified methodological sources. Complete historical deduplication totals, article-level exclusions and distinctions between database retrieval and citation chaining were not retained.</w:t>
      </w:r>
    </w:p>
    <w:p w:rsidR="00870BC8" w:rsidRDefault="00EF028E" w:rsidP="0089738B">
      <w:pPr>
        <w:pBdr>
          <w:top w:val="nil"/>
          <w:left w:val="nil"/>
          <w:bottom w:val="nil"/>
          <w:right w:val="nil"/>
          <w:between w:val="nil"/>
        </w:pBdr>
        <w:spacing w:after="140" w:line="240" w:lineRule="auto"/>
        <w:rPr>
          <w:color w:val="000000"/>
        </w:rPr>
      </w:pPr>
      <w:bookmarkStart w:id="13" w:name="43qr5z4w8xip" w:colFirst="0" w:colLast="0"/>
      <w:bookmarkStart w:id="14" w:name="nedluwqm8oat" w:colFirst="0" w:colLast="0"/>
      <w:bookmarkEnd w:id="13"/>
      <w:bookmarkEnd w:id="14"/>
      <w:r>
        <w:rPr>
          <w:color w:val="000000"/>
        </w:rPr>
        <w:t>Targeted source checks examined the original sections supporting cited claims. Malhotra et al. (2016) and Ngo et al. (2024) are cited in their arXiv versions. Source versions and reading scopes are indexed in the Evidence Companion; these checks did not cover every bibliography entry.</w:t>
      </w:r>
    </w:p>
    <w:p w:rsidR="00870BC8" w:rsidRDefault="00EF028E" w:rsidP="0089738B">
      <w:pPr>
        <w:pStyle w:val="Heading2"/>
      </w:pPr>
      <w:bookmarkStart w:id="15" w:name="_Toc243863198"/>
      <w:r>
        <w:t>A.3 Documented search update of 11 October 2026</w:t>
      </w:r>
      <w:bookmarkEnd w:id="15"/>
    </w:p>
    <w:p w:rsidR="00870BC8" w:rsidRDefault="00EF028E" w:rsidP="0089738B">
      <w:pPr>
        <w:pBdr>
          <w:top w:val="nil"/>
          <w:left w:val="nil"/>
          <w:bottom w:val="nil"/>
          <w:right w:val="nil"/>
          <w:between w:val="nil"/>
        </w:pBdr>
        <w:spacing w:after="140" w:line="240" w:lineRule="auto"/>
        <w:rPr>
          <w:color w:val="000000"/>
        </w:rPr>
      </w:pPr>
      <w:r>
        <w:rPr>
          <w:color w:val="000000"/>
        </w:rPr>
        <w:t>The 11 October 2026 narrative update combined PubMed E-utilities and Europe PMC queries with web searches and citation chaining. API queries returned 498 hits, reduced to 488 records after within-database merging and 281 distinct source-label/identifier pairs before DOI or title reconciliation (Table A.1). These are retrieval counts, not studies included after full-text review.</w:t>
      </w:r>
    </w:p>
    <w:p w:rsidR="00870BC8" w:rsidRDefault="00EF028E" w:rsidP="0089738B">
      <w:pPr>
        <w:pBdr>
          <w:top w:val="nil"/>
          <w:left w:val="nil"/>
          <w:bottom w:val="nil"/>
          <w:right w:val="nil"/>
          <w:between w:val="nil"/>
        </w:pBdr>
        <w:spacing w:after="140" w:line="240" w:lineRule="auto"/>
        <w:rPr>
          <w:color w:val="000000"/>
        </w:rPr>
      </w:pPr>
      <w:r>
        <w:rPr>
          <w:color w:val="000000"/>
        </w:rPr>
        <w:t>The four query families covered direct EHR detection from 2000 and, from 2016, federated EHR detection, healthcare federated security and transferable secure federated detection. The publication cut-off was 11 October 2026. PubMed and Europe PMC used different query translations; PubMed S1/S2 reported that the quoted phrase "access anomaly" was not found.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16" w:name="Ref_Table_A_1"/>
      <w:bookmarkStart w:id="17" w:name="_Toc243863256"/>
      <w:r>
        <w:lastRenderedPageBreak/>
        <w:t>Table A.1</w:t>
      </w:r>
      <w:bookmarkEnd w:id="16"/>
      <w:r>
        <w:t>: Records retrieved through public APIs in the 11 October 2026 search update</w:t>
      </w:r>
      <w:bookmarkEnd w:id="17"/>
    </w:p>
    <w:tbl>
      <w:tblPr>
        <w:tblStyle w:val="afe"/>
        <w:tblW w:w="850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5104"/>
        <w:gridCol w:w="1700"/>
        <w:gridCol w:w="1700"/>
      </w:tblGrid>
      <w:tr w:rsidR="00870BC8">
        <w:trPr>
          <w:cantSplit/>
          <w:tblHeader/>
          <w:jc w:val="center"/>
        </w:trPr>
        <w:tc>
          <w:tcPr>
            <w:tcW w:w="5104"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Refresh query family</w:t>
            </w:r>
          </w:p>
        </w:tc>
        <w:tc>
          <w:tcPr>
            <w:tcW w:w="1700"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PubMed</w:t>
            </w:r>
          </w:p>
        </w:tc>
        <w:tc>
          <w:tcPr>
            <w:tcW w:w="1700" w:type="dxa"/>
            <w:shd w:val="clear" w:color="auto" w:fill="D9E2F3"/>
            <w:tcMar>
              <w:top w:w="85" w:type="dxa"/>
              <w:left w:w="85" w:type="dxa"/>
              <w:bottom w:w="85" w:type="dxa"/>
              <w:right w:w="85" w:type="dxa"/>
            </w:tcMar>
            <w:vAlign w:val="center"/>
          </w:tcPr>
          <w:p w:rsidR="00870BC8" w:rsidRDefault="00EF028E" w:rsidP="0089738B">
            <w:pPr>
              <w:keepNext/>
              <w:spacing w:after="40"/>
            </w:pPr>
            <w:r>
              <w:rPr>
                <w:b/>
                <w:bCs/>
                <w:sz w:val="22"/>
                <w:szCs w:val="22"/>
              </w:rPr>
              <w:t>Europe PMC</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S1 — direct EHR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118</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85</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S2 — federated EHR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4</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3</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S3 — healthcare federated security</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137</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131</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S4 — transferable secure federated detection</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10</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10</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Sum across query returns</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269</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229</w:t>
            </w:r>
          </w:p>
        </w:tc>
      </w:tr>
      <w:tr w:rsidR="00870BC8">
        <w:trPr>
          <w:cantSplit/>
          <w:jc w:val="center"/>
        </w:trPr>
        <w:tc>
          <w:tcPr>
            <w:tcW w:w="5104" w:type="dxa"/>
            <w:tcMar>
              <w:top w:w="85" w:type="dxa"/>
              <w:left w:w="85" w:type="dxa"/>
              <w:bottom w:w="85" w:type="dxa"/>
              <w:right w:w="85" w:type="dxa"/>
            </w:tcMar>
            <w:vAlign w:val="center"/>
          </w:tcPr>
          <w:p w:rsidR="00870BC8" w:rsidRDefault="00EF028E" w:rsidP="0089738B">
            <w:pPr>
              <w:spacing w:after="40"/>
            </w:pPr>
            <w:r>
              <w:rPr>
                <w:sz w:val="22"/>
                <w:szCs w:val="22"/>
              </w:rPr>
              <w:t>After within-database merging</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264</w:t>
            </w:r>
          </w:p>
        </w:tc>
        <w:tc>
          <w:tcPr>
            <w:tcW w:w="1700" w:type="dxa"/>
            <w:tcMar>
              <w:top w:w="85" w:type="dxa"/>
              <w:left w:w="85" w:type="dxa"/>
              <w:bottom w:w="85" w:type="dxa"/>
              <w:right w:w="85" w:type="dxa"/>
            </w:tcMar>
            <w:vAlign w:val="center"/>
          </w:tcPr>
          <w:p w:rsidR="00870BC8" w:rsidRDefault="00EF028E" w:rsidP="0089738B">
            <w:pPr>
              <w:spacing w:after="40"/>
            </w:pPr>
            <w:r>
              <w:rPr>
                <w:sz w:val="22"/>
                <w:szCs w:val="22"/>
              </w:rPr>
              <w:t>224</w:t>
            </w:r>
          </w:p>
        </w:tc>
      </w:tr>
    </w:tbl>
    <w:p w:rsidR="00870BC8" w:rsidRDefault="00EF028E" w:rsidP="0089738B">
      <w:pPr>
        <w:pBdr>
          <w:top w:val="nil"/>
          <w:left w:val="nil"/>
          <w:bottom w:val="nil"/>
          <w:right w:val="nil"/>
          <w:between w:val="nil"/>
        </w:pBdr>
        <w:spacing w:after="140" w:line="240" w:lineRule="auto"/>
        <w:rPr>
          <w:color w:val="000000"/>
        </w:rPr>
      </w:pPr>
      <w:r>
        <w:rPr>
          <w:color w:val="000000"/>
        </w:rPr>
        <w:t>Screening was AI-assisted and not independently repeated by two human reviewers. Only top web-search results were retained, preventing a coverage estimate. Exact queries, translations and candidate decisions remain in the Evidence Companion; this update did not repeat the native-interface searches of Scopus, Web of Science, IEEE Xplore or ACM.</w:t>
      </w:r>
    </w:p>
    <w:p w:rsidR="00B74030" w:rsidRDefault="00406097">
      <w:pPr>
        <w:spacing w:line="240" w:lineRule="auto"/>
      </w:pPr>
      <w:r>
        <w:t>On 17 October 2026, full texts were obtained for FeadSeq (Guan et al., 2025) and Lytvyn and Nguyen (2024), supporting Sections 2.3 and 2.7. This later access check did not alter the 11 October retrieval counts.</w:t>
      </w:r>
    </w:p>
    <w:p w:rsidR="00DB7A3A" w:rsidRDefault="001D2B88">
      <w:pPr>
        <w:pStyle w:val="Heading2"/>
      </w:pPr>
      <w:bookmarkStart w:id="18" w:name="_Toc243863199"/>
      <w:r>
        <w:t>A.4 Source-specific comparison details</w:t>
      </w:r>
      <w:bookmarkEnd w:id="18"/>
    </w:p>
    <w:p w:rsidR="00870BC8" w:rsidRDefault="00EF028E">
      <w:pPr>
        <w:pBdr>
          <w:top w:val="nil"/>
          <w:left w:val="nil"/>
          <w:bottom w:val="nil"/>
          <w:right w:val="nil"/>
          <w:between w:val="nil"/>
        </w:pBdr>
        <w:rPr>
          <w:color w:val="000000"/>
        </w:rPr>
      </w:pPr>
      <w:r>
        <w:rPr>
          <w:color w:val="000000"/>
        </w:rPr>
        <w:t>Matos et al. (2026) report 50,000 normal and 500 anomalous events with an 80:20 stratified split. Their Table 2 gives recall of 0.2610 for the LSTM and 0.8180 for the meta-classifier, which combines autoencoder scores, LightGBM, rules and context. Figure 3's confusion counts imply a different test composition, leaving the denominator uncertain. The supervised event-level detector and its inference-latency and carbon measures differ from this study's routine-trained session detector and training-workflow costs.</w:t>
      </w:r>
    </w:p>
    <w:p w:rsidR="00870BC8" w:rsidRDefault="00EF028E">
      <w:pPr>
        <w:pBdr>
          <w:top w:val="nil"/>
          <w:left w:val="nil"/>
          <w:bottom w:val="nil"/>
          <w:right w:val="nil"/>
          <w:between w:val="nil"/>
        </w:pBdr>
        <w:rPr>
          <w:color w:val="000000"/>
        </w:rPr>
      </w:pPr>
      <w:r>
        <w:rPr>
          <w:color w:val="000000"/>
        </w:rPr>
        <w:t>Iqbal et al. (2026) describe 2,000 initial events augmented to 10,500 with a 70:15:15 split, but report a 2,000-event test. The relationship between these counts and separation of related augmented examples are unclear. Their event-level variational-autoencoder results therefore do not provide a matched session-level AP comparison.</w:t>
      </w:r>
    </w:p>
    <w:p w:rsidR="00870BC8" w:rsidRDefault="00EF028E">
      <w:pPr>
        <w:pBdr>
          <w:top w:val="nil"/>
          <w:left w:val="nil"/>
          <w:bottom w:val="nil"/>
          <w:right w:val="nil"/>
          <w:between w:val="nil"/>
        </w:pBdr>
        <w:rPr>
          <w:color w:val="000000"/>
        </w:rPr>
      </w:pPr>
      <w:r>
        <w:rPr>
          <w:color w:val="000000"/>
        </w:rPr>
        <w:t xml:space="preserve">Segar and Vijayan (2026) use 120,000 synthetic events and overlapping 20-event windows with temporal convolution, attention and a blockchain simulation. Algorithm 1 does not establish that windows sharing source events remain in one fold. Their McNemar estimate uses aggregate model errors rather than paired test-example disagreements. The </w:t>
      </w:r>
      <w:r>
        <w:rPr>
          <w:color w:val="000000"/>
        </w:rPr>
        <w:lastRenderedPageBreak/>
        <w:t>reported classification and simulated blockchain costs describe different comparisons from FedAvg with and without SecAgg+.</w:t>
      </w:r>
    </w:p>
    <w:p w:rsidR="00870BC8" w:rsidRDefault="00EF028E">
      <w:pPr>
        <w:pBdr>
          <w:top w:val="nil"/>
          <w:left w:val="nil"/>
          <w:bottom w:val="nil"/>
          <w:right w:val="nil"/>
          <w:between w:val="nil"/>
        </w:pBdr>
        <w:rPr>
          <w:color w:val="000000"/>
        </w:rPr>
      </w:pPr>
      <w:r>
        <w:rPr>
          <w:color w:val="000000"/>
        </w:rPr>
        <w:t>Sutradhar et al. (2026) combine context-aware and attribute-based access control, logging, monitoring and Isolation Forest in a three-month Hyperledger Fabric testbed. Dataset size, labels and train/test separation are unspecified, and metric definitions vary across tables. Federated learning is future work; the experiments do not evaluate federated updates or secure aggregation.</w:t>
      </w:r>
    </w:p>
    <w:p w:rsidR="00870BC8" w:rsidRDefault="00EF028E">
      <w:pPr>
        <w:pBdr>
          <w:top w:val="nil"/>
          <w:left w:val="nil"/>
          <w:bottom w:val="nil"/>
          <w:right w:val="nil"/>
          <w:between w:val="nil"/>
        </w:pBdr>
        <w:rPr>
          <w:color w:val="000000"/>
        </w:rPr>
      </w:pPr>
      <w:r>
        <w:rPr>
          <w:color w:val="000000"/>
        </w:rPr>
        <w:t>Maghrabi et al. (2026) describe FedAvg and TLS, but place SMPC in both the current design and future work. The available text specifies no experimental dataset or sample size and reports no matched ordinary-versus-secure aggregation experiment, leaving SMPC's experimental status unresolved.</w:t>
      </w:r>
    </w:p>
    <w:p w:rsidR="00B74030" w:rsidRDefault="00406097">
      <w:r>
        <w:t>Lytvyn and Nguyen (2024, §IV-C) compare regular FedAvg and SecAgg+ under matched models, partitions and federated settings using real Zeek HTTP/SSL traffic. They test IID, Non-IID and vertical partitions; in the vertical condition, the two clients hold the HTTP and SSL attribute sequences respectively. SecAgg+ increased elapsed time and changed forecasting errors. These outcomes differ from labelled-session detection, and the inspected results do not establish repeated-run uncertainty.</w:t>
      </w:r>
    </w:p>
    <w:p w:rsidR="00870BC8" w:rsidRDefault="00EF028E">
      <w:pPr>
        <w:pBdr>
          <w:top w:val="nil"/>
          <w:left w:val="nil"/>
          <w:bottom w:val="nil"/>
          <w:right w:val="nil"/>
          <w:between w:val="nil"/>
        </w:pBdr>
        <w:rPr>
          <w:color w:val="000000"/>
        </w:rPr>
      </w:pPr>
      <w:r>
        <w:t xml:space="preserve">Boxwala et al. (2011) train on suspicious/appropriate access labels; Kim et al. (2011) combine filter-selected positives with control-sample negatives. Kim's privacy-officer control labels follow equal random sampling from high, middle and low risk bands generated by an earlier logistic-regression model. Their separate incident tests contain only positive cases, supporting sensitivity but no independent false-positive rate. </w:t>
      </w:r>
      <w:r w:rsidR="002C3402">
        <w:t>Table 2.3</w:t>
      </w:r>
      <w:r>
        <w:t xml:space="preserve"> retains sample sizes and results.</w:t>
      </w:r>
    </w:p>
    <w:p w:rsidR="00870BC8" w:rsidRDefault="00EF028E">
      <w:pPr>
        <w:pBdr>
          <w:top w:val="nil"/>
          <w:left w:val="nil"/>
          <w:bottom w:val="nil"/>
          <w:right w:val="nil"/>
          <w:between w:val="nil"/>
        </w:pBdr>
        <w:rPr>
          <w:color w:val="000000"/>
        </w:rPr>
      </w:pPr>
      <w:r>
        <w:rPr>
          <w:color w:val="000000"/>
        </w:rPr>
        <w:t xml:space="preserve">Senturk et al. (2025) compare vector and LSTM autoencoders on 200 observations, using validation thresholds and Integrated Gradients. The vector model has higher recall and F1; the LSTM has fewer false positives. Observation construction and time/entity </w:t>
      </w:r>
      <w:r>
        <w:rPr>
          <w:color w:val="000000"/>
        </w:rPr>
        <w:lastRenderedPageBreak/>
        <w:t>separation are insufficiently specified. Figure 1's test-to-modelling feedback and inconsistencies between explanation text and figures leave validation independence and explanation faithfulness unresolved.</w:t>
      </w:r>
    </w:p>
    <w:p w:rsidR="00870BC8" w:rsidRDefault="00EF028E">
      <w:pPr>
        <w:pBdr>
          <w:top w:val="nil"/>
          <w:left w:val="nil"/>
          <w:bottom w:val="nil"/>
          <w:right w:val="nil"/>
          <w:between w:val="nil"/>
        </w:pBdr>
        <w:rPr>
          <w:color w:val="000000"/>
        </w:rPr>
      </w:pPr>
      <w:r>
        <w:rPr>
          <w:color w:val="000000"/>
        </w:rPr>
        <w:t>Lazzarini et al. (2023, Tables 5 and 7) report centralised versus aggregated-FL accuracy/F1 of 0.9840/0.9772 versus 0.9759/0.9661 on ToN_IoT, and 0.9840/0.9610 versus 0.9820/0.9554 on CICIDS2017. Simulated clients retain class proportions. These are binary network-intrusion results rather than EHR-access results.</w:t>
      </w:r>
    </w:p>
    <w:p w:rsidR="00870BC8" w:rsidRDefault="00EF028E">
      <w:pPr>
        <w:pBdr>
          <w:top w:val="nil"/>
          <w:left w:val="nil"/>
          <w:bottom w:val="nil"/>
          <w:right w:val="nil"/>
          <w:between w:val="nil"/>
        </w:pBdr>
        <w:rPr>
          <w:color w:val="000000"/>
        </w:rPr>
      </w:pPr>
      <w:r>
        <w:rPr>
          <w:color w:val="000000"/>
        </w:rPr>
        <w:t>AP and trapezoidal PR-AUC are different summaries: scikit-learn computes AP by weighting precision with recall increments, without trapezoidal interpolation (scikit-learn developers, n.d.). Their dependence on class proportions motivates interpreting the two test populations separately (Davis &amp; Goadrich, 2006; Saito &amp; Rehmsmeier, 2015).</w:t>
      </w:r>
    </w:p>
    <w:p w:rsidR="00870BC8" w:rsidRDefault="00EF028E" w:rsidP="0089738B">
      <w:pPr>
        <w:pStyle w:val="Heading1"/>
        <w:jc w:val="both"/>
      </w:pPr>
      <w:bookmarkStart w:id="19" w:name="jogfgui588ae" w:colFirst="0" w:colLast="0"/>
      <w:bookmarkStart w:id="20" w:name="ehl9puy8ur8" w:colFirst="0" w:colLast="0"/>
      <w:bookmarkStart w:id="21" w:name="grnsa2433oas" w:colFirst="0" w:colLast="0"/>
      <w:bookmarkStart w:id="22" w:name="_Toc243863200"/>
      <w:bookmarkEnd w:id="19"/>
      <w:bookmarkEnd w:id="20"/>
      <w:bookmarkEnd w:id="21"/>
      <w:r>
        <w:lastRenderedPageBreak/>
        <w:t>APPENDIX B: IMPLEMENTATION AND NUMERICAL CHECKS</w:t>
      </w:r>
      <w:bookmarkEnd w:id="22"/>
      <w:r>
        <w:fldChar w:fldCharType="begin"/>
      </w:r>
      <w:r>
        <w:instrText xml:space="preserve"> TC "</w:instrText>
      </w:r>
      <w:bookmarkStart w:id="23" w:name="_Toc243863274"/>
      <w:r>
        <w:instrText>APPENDIX B: IMPLEMENTATION AND NUMERICAL CHECKS</w:instrText>
      </w:r>
      <w:bookmarkEnd w:id="23"/>
      <w:r>
        <w:instrText xml:space="preserve">" \f A \l 1 </w:instrText>
      </w:r>
      <w:r>
        <w:fldChar w:fldCharType="end"/>
      </w:r>
    </w:p>
    <w:p w:rsidR="00870BC8" w:rsidRDefault="00EF028E" w:rsidP="0089738B">
      <w:pPr>
        <w:pBdr>
          <w:top w:val="nil"/>
          <w:left w:val="nil"/>
          <w:bottom w:val="nil"/>
          <w:right w:val="nil"/>
          <w:between w:val="nil"/>
        </w:pBdr>
        <w:spacing w:after="140" w:line="240" w:lineRule="auto"/>
        <w:rPr>
          <w:color w:val="000000"/>
        </w:rPr>
      </w:pPr>
      <w:r>
        <w:rPr>
          <w:color w:val="000000"/>
        </w:rPr>
        <w:t>The numerical and implementation details below support the comparisons in Chapters 3 and 4. The experiments used the supplied eleven-table snapshot and local Flower build 1.22.0+mai.prg7570.1.</w:t>
      </w:r>
    </w:p>
    <w:p w:rsidR="00870BC8" w:rsidRDefault="00EF028E" w:rsidP="0089738B">
      <w:pPr>
        <w:pStyle w:val="Heading2"/>
      </w:pPr>
      <w:bookmarkStart w:id="24" w:name="t106wdor2pgb" w:colFirst="0" w:colLast="0"/>
      <w:bookmarkStart w:id="25" w:name="_Toc243863201"/>
      <w:bookmarkEnd w:id="24"/>
      <w:r>
        <w:t>B.1 Checks using public vectors and helper-code attribution</w:t>
      </w:r>
      <w:bookmarkEnd w:id="25"/>
    </w:p>
    <w:p w:rsidR="00870BC8" w:rsidRDefault="00EF028E" w:rsidP="0089738B">
      <w:pPr>
        <w:pBdr>
          <w:top w:val="nil"/>
          <w:left w:val="nil"/>
          <w:bottom w:val="nil"/>
          <w:right w:val="nil"/>
          <w:between w:val="nil"/>
        </w:pBdr>
        <w:spacing w:after="140" w:line="240" w:lineRule="auto"/>
        <w:rPr>
          <w:color w:val="000000"/>
        </w:rPr>
      </w:pPr>
      <w:r>
        <w:rPr>
          <w:color w:val="000000"/>
        </w:rPr>
        <w:t>Public-vector checks tested exact aggregation for quantisation-grid inputs, bounded rounding error for non-grid inputs, and refusal of missing or mismatched replies. These in-memory checks preceded the separate security suite in Section 4.11.</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26" w:name="Ref_Table_B_1"/>
      <w:bookmarkStart w:id="27" w:name="_Toc243863257"/>
      <w:r>
        <w:t>Table B.1</w:t>
      </w:r>
      <w:bookmarkEnd w:id="26"/>
      <w:r>
        <w:t>: Checks using public vectors in the locally modified SecAgg+ workflow</w:t>
      </w:r>
      <w:bookmarkEnd w:id="27"/>
    </w:p>
    <w:tbl>
      <w:tblPr>
        <w:tblStyle w:val="aff"/>
        <w:tblW w:w="85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7"/>
        <w:gridCol w:w="2098"/>
        <w:gridCol w:w="1928"/>
        <w:gridCol w:w="1814"/>
        <w:gridCol w:w="907"/>
      </w:tblGrid>
      <w:tr w:rsidR="00870BC8">
        <w:trPr>
          <w:cantSplit/>
          <w:tblHeader/>
          <w:jc w:val="center"/>
        </w:trPr>
        <w:tc>
          <w:tcPr>
            <w:tcW w:w="1757" w:type="dxa"/>
            <w:shd w:val="clear" w:color="auto" w:fill="F2F2F2"/>
            <w:vAlign w:val="center"/>
          </w:tcPr>
          <w:p w:rsidR="00870BC8" w:rsidRDefault="00EF028E" w:rsidP="0089738B">
            <w:pPr>
              <w:keepNext/>
              <w:keepLines/>
              <w:spacing w:after="20" w:line="252" w:lineRule="auto"/>
            </w:pPr>
            <w:r>
              <w:rPr>
                <w:b/>
                <w:bCs/>
                <w:sz w:val="20"/>
                <w:szCs w:val="20"/>
              </w:rPr>
              <w:t>Case</w:t>
            </w:r>
          </w:p>
        </w:tc>
        <w:tc>
          <w:tcPr>
            <w:tcW w:w="2098" w:type="dxa"/>
            <w:shd w:val="clear" w:color="auto" w:fill="F2F2F2"/>
            <w:vAlign w:val="center"/>
          </w:tcPr>
          <w:p w:rsidR="00870BC8" w:rsidRDefault="00EF028E" w:rsidP="0089738B">
            <w:pPr>
              <w:keepNext/>
              <w:keepLines/>
              <w:spacing w:after="20" w:line="252" w:lineRule="auto"/>
            </w:pPr>
            <w:r>
              <w:rPr>
                <w:b/>
                <w:bCs/>
                <w:sz w:val="20"/>
                <w:szCs w:val="20"/>
              </w:rPr>
              <w:t>Expected behaviour</w:t>
            </w:r>
          </w:p>
        </w:tc>
        <w:tc>
          <w:tcPr>
            <w:tcW w:w="1928" w:type="dxa"/>
            <w:shd w:val="clear" w:color="auto" w:fill="F2F2F2"/>
            <w:vAlign w:val="center"/>
          </w:tcPr>
          <w:p w:rsidR="00870BC8" w:rsidRDefault="00EF028E" w:rsidP="0089738B">
            <w:pPr>
              <w:keepNext/>
              <w:keepLines/>
              <w:spacing w:after="20" w:line="252" w:lineRule="auto"/>
            </w:pPr>
            <w:r>
              <w:rPr>
                <w:b/>
                <w:bCs/>
                <w:sz w:val="20"/>
                <w:szCs w:val="20"/>
              </w:rPr>
              <w:t>Measured error / action</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Acceptance bound</w:t>
            </w:r>
          </w:p>
        </w:tc>
        <w:tc>
          <w:tcPr>
            <w:tcW w:w="907" w:type="dxa"/>
            <w:shd w:val="clear" w:color="auto" w:fill="F2F2F2"/>
            <w:vAlign w:val="center"/>
          </w:tcPr>
          <w:p w:rsidR="00870BC8" w:rsidRDefault="00EF028E" w:rsidP="0089738B">
            <w:pPr>
              <w:keepNext/>
              <w:keepLines/>
              <w:spacing w:after="20" w:line="252" w:lineRule="auto"/>
            </w:pPr>
            <w:r>
              <w:rPr>
                <w:b/>
                <w:bCs/>
                <w:sz w:val="20"/>
                <w:szCs w:val="20"/>
              </w:rPr>
              <w:t>Result</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Equal weights 256/256/256</w:t>
            </w:r>
          </w:p>
        </w:tc>
        <w:tc>
          <w:tcPr>
            <w:tcW w:w="2098" w:type="dxa"/>
            <w:vAlign w:val="center"/>
          </w:tcPr>
          <w:p w:rsidR="00870BC8" w:rsidRDefault="00EF028E" w:rsidP="0089738B">
            <w:pPr>
              <w:keepLines/>
              <w:spacing w:after="20" w:line="252" w:lineRule="auto"/>
            </w:pPr>
            <w:r>
              <w:rPr>
                <w:sz w:val="20"/>
                <w:szCs w:val="20"/>
              </w:rPr>
              <w:t>Exact integer sum and weighted mean</w:t>
            </w:r>
          </w:p>
        </w:tc>
        <w:tc>
          <w:tcPr>
            <w:tcW w:w="1928" w:type="dxa"/>
            <w:vAlign w:val="center"/>
          </w:tcPr>
          <w:p w:rsidR="00870BC8" w:rsidRDefault="00EF028E" w:rsidP="0089738B">
            <w:pPr>
              <w:keepLines/>
              <w:spacing w:after="20" w:line="252" w:lineRule="auto"/>
            </w:pPr>
            <w:r>
              <w:rPr>
                <w:sz w:val="20"/>
                <w:szCs w:val="20"/>
              </w:rPr>
              <w:t>0</w:t>
            </w:r>
          </w:p>
        </w:tc>
        <w:tc>
          <w:tcPr>
            <w:tcW w:w="1814" w:type="dxa"/>
            <w:vAlign w:val="center"/>
          </w:tcPr>
          <w:p w:rsidR="00870BC8" w:rsidRDefault="00EF028E" w:rsidP="0089738B">
            <w:pPr>
              <w:keepLines/>
              <w:spacing w:after="20" w:line="252" w:lineRule="auto"/>
            </w:pPr>
            <w:r>
              <w:rPr>
                <w:sz w:val="20"/>
                <w:szCs w:val="20"/>
              </w:rPr>
              <w:t>1.2397766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Unequal weights 64/128/256</w:t>
            </w:r>
          </w:p>
        </w:tc>
        <w:tc>
          <w:tcPr>
            <w:tcW w:w="2098" w:type="dxa"/>
            <w:vAlign w:val="center"/>
          </w:tcPr>
          <w:p w:rsidR="00870BC8" w:rsidRDefault="00EF028E" w:rsidP="0089738B">
            <w:pPr>
              <w:keepLines/>
              <w:spacing w:after="20" w:line="252" w:lineRule="auto"/>
            </w:pPr>
            <w:r>
              <w:rPr>
                <w:sz w:val="20"/>
                <w:szCs w:val="20"/>
              </w:rPr>
              <w:t>Exact integer sum and weighted mean</w:t>
            </w:r>
          </w:p>
        </w:tc>
        <w:tc>
          <w:tcPr>
            <w:tcW w:w="1928" w:type="dxa"/>
            <w:vAlign w:val="center"/>
          </w:tcPr>
          <w:p w:rsidR="00870BC8" w:rsidRDefault="00EF028E" w:rsidP="0089738B">
            <w:pPr>
              <w:keepLines/>
              <w:spacing w:after="20" w:line="252" w:lineRule="auto"/>
            </w:pPr>
            <w:r>
              <w:rPr>
                <w:sz w:val="20"/>
                <w:szCs w:val="20"/>
              </w:rPr>
              <w:t>0</w:t>
            </w:r>
          </w:p>
        </w:tc>
        <w:tc>
          <w:tcPr>
            <w:tcW w:w="1814" w:type="dxa"/>
            <w:vAlign w:val="center"/>
          </w:tcPr>
          <w:p w:rsidR="00870BC8" w:rsidRDefault="00EF028E" w:rsidP="0089738B">
            <w:pPr>
              <w:keepLines/>
              <w:spacing w:after="20" w:line="252" w:lineRule="auto"/>
            </w:pPr>
            <w:r>
              <w:rPr>
                <w:sz w:val="20"/>
                <w:szCs w:val="20"/>
              </w:rPr>
              <w:t>2.1117074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Non-lattice 256/256/256</w:t>
            </w:r>
          </w:p>
        </w:tc>
        <w:tc>
          <w:tcPr>
            <w:tcW w:w="2098" w:type="dxa"/>
            <w:vAlign w:val="center"/>
          </w:tcPr>
          <w:p w:rsidR="00870BC8" w:rsidRDefault="00EF028E" w:rsidP="0089738B">
            <w:pPr>
              <w:keepLines/>
              <w:spacing w:after="20" w:line="252" w:lineRule="auto"/>
            </w:pPr>
            <w:r>
              <w:rPr>
                <w:sz w:val="20"/>
                <w:szCs w:val="20"/>
              </w:rPr>
              <w:t>Approximate weighted mean</w:t>
            </w:r>
          </w:p>
        </w:tc>
        <w:tc>
          <w:tcPr>
            <w:tcW w:w="1928" w:type="dxa"/>
            <w:vAlign w:val="center"/>
          </w:tcPr>
          <w:p w:rsidR="00870BC8" w:rsidRDefault="00EF028E" w:rsidP="0089738B">
            <w:pPr>
              <w:keepLines/>
              <w:spacing w:after="20" w:line="252" w:lineRule="auto"/>
            </w:pPr>
            <w:r>
              <w:rPr>
                <w:sz w:val="20"/>
                <w:szCs w:val="20"/>
              </w:rPr>
              <w:t>2.0504619 × 10⁻⁵</w:t>
            </w:r>
          </w:p>
        </w:tc>
        <w:tc>
          <w:tcPr>
            <w:tcW w:w="1814" w:type="dxa"/>
            <w:vAlign w:val="center"/>
          </w:tcPr>
          <w:p w:rsidR="00870BC8" w:rsidRDefault="00EF028E" w:rsidP="0089738B">
            <w:pPr>
              <w:keepLines/>
              <w:spacing w:after="20" w:line="252" w:lineRule="auto"/>
            </w:pPr>
            <w:r>
              <w:rPr>
                <w:sz w:val="20"/>
                <w:szCs w:val="20"/>
              </w:rPr>
              <w:t>1.2397766 × 10⁻⁴</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Missing reply</w:t>
            </w:r>
          </w:p>
        </w:tc>
        <w:tc>
          <w:tcPr>
            <w:tcW w:w="2098" w:type="dxa"/>
            <w:vAlign w:val="center"/>
          </w:tcPr>
          <w:p w:rsidR="00870BC8" w:rsidRDefault="00EF028E" w:rsidP="0089738B">
            <w:pPr>
              <w:keepLines/>
              <w:spacing w:after="20" w:line="252" w:lineRule="auto"/>
            </w:pPr>
            <w:r>
              <w:rPr>
                <w:sz w:val="20"/>
                <w:szCs w:val="20"/>
              </w:rPr>
              <w:t>Refuse; no aggregation</w:t>
            </w:r>
          </w:p>
        </w:tc>
        <w:tc>
          <w:tcPr>
            <w:tcW w:w="1928" w:type="dxa"/>
            <w:vAlign w:val="center"/>
          </w:tcPr>
          <w:p w:rsidR="00870BC8" w:rsidRDefault="00EF028E" w:rsidP="0089738B">
            <w:pPr>
              <w:keepLines/>
              <w:spacing w:after="20" w:line="252" w:lineRule="auto"/>
            </w:pPr>
            <w:r>
              <w:rPr>
                <w:sz w:val="20"/>
                <w:szCs w:val="20"/>
              </w:rPr>
              <w:t>0 aggregate calls</w:t>
            </w:r>
          </w:p>
        </w:tc>
        <w:tc>
          <w:tcPr>
            <w:tcW w:w="1814" w:type="dxa"/>
            <w:vAlign w:val="center"/>
          </w:tcPr>
          <w:p w:rsidR="00870BC8" w:rsidRDefault="00EF028E" w:rsidP="0089738B">
            <w:pPr>
              <w:keepLines/>
              <w:spacing w:after="20" w:line="252" w:lineRule="auto"/>
            </w:pPr>
            <w:r>
              <w:rPr>
                <w:sz w:val="20"/>
                <w:szCs w:val="20"/>
              </w:rPr>
              <w:t>No aggregation</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vAlign w:val="center"/>
          </w:tcPr>
          <w:p w:rsidR="00870BC8" w:rsidRDefault="00EF028E" w:rsidP="0089738B">
            <w:pPr>
              <w:keepLines/>
              <w:spacing w:after="20" w:line="252" w:lineRule="auto"/>
            </w:pPr>
            <w:r>
              <w:rPr>
                <w:sz w:val="20"/>
                <w:szCs w:val="20"/>
              </w:rPr>
              <w:t>Mismatched identifier</w:t>
            </w:r>
          </w:p>
        </w:tc>
        <w:tc>
          <w:tcPr>
            <w:tcW w:w="2098" w:type="dxa"/>
            <w:vAlign w:val="center"/>
          </w:tcPr>
          <w:p w:rsidR="00870BC8" w:rsidRDefault="00EF028E" w:rsidP="0089738B">
            <w:pPr>
              <w:keepLines/>
              <w:spacing w:after="20" w:line="252" w:lineRule="auto"/>
            </w:pPr>
            <w:r>
              <w:rPr>
                <w:sz w:val="20"/>
                <w:szCs w:val="20"/>
              </w:rPr>
              <w:t>Refuse; no aggregation</w:t>
            </w:r>
          </w:p>
        </w:tc>
        <w:tc>
          <w:tcPr>
            <w:tcW w:w="1928" w:type="dxa"/>
            <w:vAlign w:val="center"/>
          </w:tcPr>
          <w:p w:rsidR="00870BC8" w:rsidRDefault="00EF028E" w:rsidP="0089738B">
            <w:pPr>
              <w:keepLines/>
              <w:spacing w:after="20" w:line="252" w:lineRule="auto"/>
            </w:pPr>
            <w:r>
              <w:rPr>
                <w:sz w:val="20"/>
                <w:szCs w:val="20"/>
              </w:rPr>
              <w:t>0 aggregate calls</w:t>
            </w:r>
          </w:p>
        </w:tc>
        <w:tc>
          <w:tcPr>
            <w:tcW w:w="1814" w:type="dxa"/>
            <w:vAlign w:val="center"/>
          </w:tcPr>
          <w:p w:rsidR="00870BC8" w:rsidRDefault="00EF028E" w:rsidP="0089738B">
            <w:pPr>
              <w:keepLines/>
              <w:spacing w:after="20" w:line="252" w:lineRule="auto"/>
            </w:pPr>
            <w:r>
              <w:rPr>
                <w:sz w:val="20"/>
                <w:szCs w:val="20"/>
              </w:rPr>
              <w:t>No aggregation</w:t>
            </w:r>
          </w:p>
        </w:tc>
        <w:tc>
          <w:tcPr>
            <w:tcW w:w="907" w:type="dxa"/>
            <w:vAlign w:val="center"/>
          </w:tcPr>
          <w:p w:rsidR="00870BC8" w:rsidRDefault="00EF028E" w:rsidP="0089738B">
            <w:pPr>
              <w:keepLines/>
              <w:spacing w:after="20" w:line="252" w:lineRule="auto"/>
            </w:pPr>
            <w:r>
              <w:rPr>
                <w:sz w:val="20"/>
                <w:szCs w:val="20"/>
              </w:rPr>
              <w:t>PASS</w:t>
            </w:r>
          </w:p>
        </w:tc>
      </w:tr>
      <w:tr w:rsidR="00870BC8">
        <w:trPr>
          <w:cantSplit/>
          <w:jc w:val="center"/>
        </w:trPr>
        <w:tc>
          <w:tcPr>
            <w:tcW w:w="1757" w:type="dxa"/>
          </w:tcPr>
          <w:p w:rsidR="00870BC8" w:rsidRDefault="00EF028E" w:rsidP="0089738B">
            <w:pPr>
              <w:keepNext/>
              <w:keepLines/>
              <w:spacing w:after="20" w:line="252" w:lineRule="auto"/>
            </w:pPr>
            <w:r>
              <w:rPr>
                <w:sz w:val="20"/>
                <w:szCs w:val="20"/>
              </w:rPr>
              <w:t>Main weights 3,609/3,548/3,676</w:t>
            </w:r>
          </w:p>
        </w:tc>
        <w:tc>
          <w:tcPr>
            <w:tcW w:w="2098" w:type="dxa"/>
          </w:tcPr>
          <w:p w:rsidR="00870BC8" w:rsidRDefault="00EF028E" w:rsidP="0089738B">
            <w:pPr>
              <w:keepNext/>
              <w:keepLines/>
              <w:spacing w:after="20" w:line="252" w:lineRule="auto"/>
            </w:pPr>
            <w:r>
              <w:rPr>
                <w:sz w:val="20"/>
                <w:szCs w:val="20"/>
              </w:rPr>
              <w:t>Approximate weighted mean</w:t>
            </w:r>
          </w:p>
        </w:tc>
        <w:tc>
          <w:tcPr>
            <w:tcW w:w="1928" w:type="dxa"/>
          </w:tcPr>
          <w:p w:rsidR="00870BC8" w:rsidRDefault="00EF028E" w:rsidP="0089738B">
            <w:pPr>
              <w:keepNext/>
              <w:keepLines/>
              <w:spacing w:after="20" w:line="252" w:lineRule="auto"/>
            </w:pPr>
            <w:r>
              <w:rPr>
                <w:sz w:val="20"/>
                <w:szCs w:val="20"/>
              </w:rPr>
              <w:t>1.4737626 × 10⁻⁶</w:t>
            </w:r>
          </w:p>
        </w:tc>
        <w:tc>
          <w:tcPr>
            <w:tcW w:w="1814" w:type="dxa"/>
          </w:tcPr>
          <w:p w:rsidR="00870BC8" w:rsidRDefault="00EF028E" w:rsidP="0089738B">
            <w:pPr>
              <w:keepNext/>
              <w:keepLines/>
              <w:spacing w:after="20" w:line="252" w:lineRule="auto"/>
            </w:pPr>
            <w:r>
              <w:rPr>
                <w:sz w:val="20"/>
                <w:szCs w:val="20"/>
              </w:rPr>
              <w:t>1.0561461 × 10⁻⁵</w:t>
            </w:r>
          </w:p>
        </w:tc>
        <w:tc>
          <w:tcPr>
            <w:tcW w:w="907" w:type="dxa"/>
          </w:tcPr>
          <w:p w:rsidR="00870BC8" w:rsidRDefault="00EF028E" w:rsidP="0089738B">
            <w:pPr>
              <w:keepNext/>
              <w:keepLines/>
              <w:spacing w:after="20" w:line="252" w:lineRule="auto"/>
            </w:pPr>
            <w:r>
              <w:rPr>
                <w:sz w:val="20"/>
                <w:szCs w:val="20"/>
              </w:rPr>
              <w:t>PASS</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28" w:name="tx4n57sesh4o" w:colFirst="0" w:colLast="0"/>
      <w:bookmarkEnd w:id="28"/>
      <w:r>
        <w:rPr>
          <w:color w:val="000000"/>
          <w:sz w:val="20"/>
          <w:szCs w:val="20"/>
        </w:rPr>
        <w:t>Note. Errors concern averaged parameter coordinates. The main-weight case used four coordinates per client. Zero aggregate calls establish refusal of aggregation, without showing whether local client computation occurred.</w:t>
      </w:r>
    </w:p>
    <w:p w:rsidR="00870BC8" w:rsidRDefault="00EF028E" w:rsidP="0089738B">
      <w:pPr>
        <w:pStyle w:val="Heading2"/>
      </w:pPr>
      <w:bookmarkStart w:id="29" w:name="342yr4fo3twy" w:colFirst="0" w:colLast="0"/>
      <w:bookmarkStart w:id="30" w:name="_Toc243863202"/>
      <w:bookmarkEnd w:id="29"/>
      <w:r>
        <w:t>B.2 Department distributions and recorded sampling checks</w:t>
      </w:r>
      <w:bookmarkEnd w:id="30"/>
    </w:p>
    <w:p w:rsidR="00870BC8" w:rsidRDefault="00EF028E" w:rsidP="0089738B">
      <w:pPr>
        <w:pBdr>
          <w:top w:val="nil"/>
          <w:left w:val="nil"/>
          <w:bottom w:val="nil"/>
          <w:right w:val="nil"/>
          <w:between w:val="nil"/>
        </w:pBdr>
        <w:spacing w:after="140" w:line="240" w:lineRule="auto"/>
        <w:rPr>
          <w:color w:val="000000"/>
        </w:rPr>
      </w:pPr>
      <w:r>
        <w:rPr>
          <w:color w:val="000000"/>
        </w:rPr>
        <w:t>Training sessions were assigned to their most frequent department, with lexical tie-breaking. Controlled Non-IID sampling allocated 60% probability to the designated department and distributed 40% uniformly over the remaining sessions.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1" w:name="Ref_Table_B_2"/>
      <w:bookmarkStart w:id="32" w:name="_Toc243863258"/>
      <w:r>
        <w:t>Table B.2</w:t>
      </w:r>
      <w:bookmarkEnd w:id="31"/>
      <w:r>
        <w:t>: Original and expected department proportions (%)</w:t>
      </w:r>
      <w:bookmarkEnd w:id="32"/>
    </w:p>
    <w:tbl>
      <w:tblPr>
        <w:tblStyle w:val="aff0"/>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992"/>
        <w:gridCol w:w="992"/>
        <w:gridCol w:w="992"/>
        <w:gridCol w:w="992"/>
        <w:gridCol w:w="992"/>
        <w:gridCol w:w="992"/>
      </w:tblGrid>
      <w:tr w:rsidR="00870BC8">
        <w:trPr>
          <w:cantSplit/>
          <w:tblHeader/>
          <w:jc w:val="center"/>
        </w:trPr>
        <w:tc>
          <w:tcPr>
            <w:tcW w:w="2551" w:type="dxa"/>
            <w:shd w:val="clear" w:color="auto" w:fill="F2F2F2"/>
            <w:vAlign w:val="center"/>
          </w:tcPr>
          <w:p w:rsidR="00870BC8" w:rsidRDefault="00EF028E" w:rsidP="0089738B">
            <w:pPr>
              <w:keepNext/>
              <w:keepLines/>
              <w:spacing w:after="20" w:line="252" w:lineRule="auto"/>
            </w:pPr>
            <w:r>
              <w:rPr>
                <w:b/>
                <w:bCs/>
                <w:sz w:val="20"/>
                <w:szCs w:val="20"/>
              </w:rPr>
              <w:t>Department</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C1</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C2</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Ref. C3</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C1</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C2</w:t>
            </w:r>
          </w:p>
        </w:tc>
        <w:tc>
          <w:tcPr>
            <w:tcW w:w="992" w:type="dxa"/>
            <w:shd w:val="clear" w:color="auto" w:fill="F2F2F2"/>
            <w:vAlign w:val="center"/>
          </w:tcPr>
          <w:p w:rsidR="00870BC8" w:rsidRDefault="00EF028E" w:rsidP="0089738B">
            <w:pPr>
              <w:keepNext/>
              <w:keepLines/>
              <w:spacing w:after="20" w:line="252" w:lineRule="auto"/>
            </w:pPr>
            <w:r>
              <w:rPr>
                <w:b/>
                <w:bCs/>
                <w:sz w:val="20"/>
                <w:szCs w:val="20"/>
              </w:rPr>
              <w:t>NI C3</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Emergency</w:t>
            </w:r>
          </w:p>
        </w:tc>
        <w:tc>
          <w:tcPr>
            <w:tcW w:w="992" w:type="dxa"/>
            <w:vAlign w:val="center"/>
          </w:tcPr>
          <w:p w:rsidR="00870BC8" w:rsidRDefault="00EF028E" w:rsidP="0089738B">
            <w:pPr>
              <w:keepLines/>
              <w:spacing w:after="20" w:line="252" w:lineRule="auto"/>
            </w:pPr>
            <w:r>
              <w:rPr>
                <w:sz w:val="20"/>
                <w:szCs w:val="20"/>
              </w:rPr>
              <w:t>21.003</w:t>
            </w:r>
          </w:p>
        </w:tc>
        <w:tc>
          <w:tcPr>
            <w:tcW w:w="992" w:type="dxa"/>
            <w:vAlign w:val="center"/>
          </w:tcPr>
          <w:p w:rsidR="00870BC8" w:rsidRDefault="00EF028E" w:rsidP="0089738B">
            <w:pPr>
              <w:keepLines/>
              <w:spacing w:after="20" w:line="252" w:lineRule="auto"/>
            </w:pPr>
            <w:r>
              <w:rPr>
                <w:sz w:val="20"/>
                <w:szCs w:val="20"/>
              </w:rPr>
              <w:t>23.844</w:t>
            </w:r>
          </w:p>
        </w:tc>
        <w:tc>
          <w:tcPr>
            <w:tcW w:w="992" w:type="dxa"/>
            <w:vAlign w:val="center"/>
          </w:tcPr>
          <w:p w:rsidR="00870BC8" w:rsidRDefault="00EF028E" w:rsidP="0089738B">
            <w:pPr>
              <w:keepLines/>
              <w:spacing w:after="20" w:line="252" w:lineRule="auto"/>
            </w:pPr>
            <w:r>
              <w:rPr>
                <w:sz w:val="20"/>
                <w:szCs w:val="20"/>
              </w:rPr>
              <w:t>22.008</w:t>
            </w:r>
          </w:p>
        </w:tc>
        <w:tc>
          <w:tcPr>
            <w:tcW w:w="992" w:type="dxa"/>
            <w:vAlign w:val="center"/>
          </w:tcPr>
          <w:p w:rsidR="00870BC8" w:rsidRDefault="00EF028E" w:rsidP="0089738B">
            <w:pPr>
              <w:keepLines/>
              <w:spacing w:after="20" w:line="252" w:lineRule="auto"/>
            </w:pPr>
            <w:r>
              <w:rPr>
                <w:sz w:val="20"/>
                <w:szCs w:val="20"/>
              </w:rPr>
              <w:t>60.000</w:t>
            </w:r>
          </w:p>
        </w:tc>
        <w:tc>
          <w:tcPr>
            <w:tcW w:w="992" w:type="dxa"/>
            <w:vAlign w:val="center"/>
          </w:tcPr>
          <w:p w:rsidR="00870BC8" w:rsidRDefault="00EF028E" w:rsidP="0089738B">
            <w:pPr>
              <w:keepLines/>
              <w:spacing w:after="20" w:line="252" w:lineRule="auto"/>
            </w:pPr>
            <w:r>
              <w:rPr>
                <w:sz w:val="20"/>
                <w:szCs w:val="20"/>
              </w:rPr>
              <w:t>12.195</w:t>
            </w:r>
          </w:p>
        </w:tc>
        <w:tc>
          <w:tcPr>
            <w:tcW w:w="992" w:type="dxa"/>
            <w:vAlign w:val="center"/>
          </w:tcPr>
          <w:p w:rsidR="00870BC8" w:rsidRDefault="00EF028E" w:rsidP="0089738B">
            <w:pPr>
              <w:keepLines/>
              <w:spacing w:after="20" w:line="252" w:lineRule="auto"/>
            </w:pPr>
            <w:r>
              <w:rPr>
                <w:sz w:val="20"/>
                <w:szCs w:val="20"/>
              </w:rPr>
              <w:t>9.773</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Health information management</w:t>
            </w:r>
          </w:p>
        </w:tc>
        <w:tc>
          <w:tcPr>
            <w:tcW w:w="992" w:type="dxa"/>
            <w:vAlign w:val="center"/>
          </w:tcPr>
          <w:p w:rsidR="00870BC8" w:rsidRDefault="00EF028E" w:rsidP="0089738B">
            <w:pPr>
              <w:keepLines/>
              <w:spacing w:after="20" w:line="252" w:lineRule="auto"/>
            </w:pPr>
            <w:r>
              <w:rPr>
                <w:sz w:val="20"/>
                <w:szCs w:val="20"/>
              </w:rPr>
              <w:t>5.985</w:t>
            </w:r>
          </w:p>
        </w:tc>
        <w:tc>
          <w:tcPr>
            <w:tcW w:w="992" w:type="dxa"/>
            <w:vAlign w:val="center"/>
          </w:tcPr>
          <w:p w:rsidR="00870BC8" w:rsidRDefault="00EF028E" w:rsidP="0089738B">
            <w:pPr>
              <w:keepLines/>
              <w:spacing w:after="20" w:line="252" w:lineRule="auto"/>
            </w:pPr>
            <w:r>
              <w:rPr>
                <w:sz w:val="20"/>
                <w:szCs w:val="20"/>
              </w:rPr>
              <w:t>6.003</w:t>
            </w:r>
          </w:p>
        </w:tc>
        <w:tc>
          <w:tcPr>
            <w:tcW w:w="992" w:type="dxa"/>
            <w:vAlign w:val="center"/>
          </w:tcPr>
          <w:p w:rsidR="00870BC8" w:rsidRDefault="00EF028E" w:rsidP="0089738B">
            <w:pPr>
              <w:keepLines/>
              <w:spacing w:after="20" w:line="252" w:lineRule="auto"/>
            </w:pPr>
            <w:r>
              <w:rPr>
                <w:sz w:val="20"/>
                <w:szCs w:val="20"/>
              </w:rPr>
              <w:t>7.291</w:t>
            </w:r>
          </w:p>
        </w:tc>
        <w:tc>
          <w:tcPr>
            <w:tcW w:w="992" w:type="dxa"/>
            <w:vAlign w:val="center"/>
          </w:tcPr>
          <w:p w:rsidR="00870BC8" w:rsidRDefault="00EF028E" w:rsidP="0089738B">
            <w:pPr>
              <w:keepLines/>
              <w:spacing w:after="20" w:line="252" w:lineRule="auto"/>
            </w:pPr>
            <w:r>
              <w:rPr>
                <w:sz w:val="20"/>
                <w:szCs w:val="20"/>
              </w:rPr>
              <w:t>3.031</w:t>
            </w:r>
          </w:p>
        </w:tc>
        <w:tc>
          <w:tcPr>
            <w:tcW w:w="992" w:type="dxa"/>
            <w:vAlign w:val="center"/>
          </w:tcPr>
          <w:p w:rsidR="00870BC8" w:rsidRDefault="00EF028E" w:rsidP="0089738B">
            <w:pPr>
              <w:keepLines/>
              <w:spacing w:after="20" w:line="252" w:lineRule="auto"/>
            </w:pPr>
            <w:r>
              <w:rPr>
                <w:sz w:val="20"/>
                <w:szCs w:val="20"/>
              </w:rPr>
              <w:t>3.070</w:t>
            </w:r>
          </w:p>
        </w:tc>
        <w:tc>
          <w:tcPr>
            <w:tcW w:w="992" w:type="dxa"/>
            <w:vAlign w:val="center"/>
          </w:tcPr>
          <w:p w:rsidR="00870BC8" w:rsidRDefault="00EF028E" w:rsidP="0089738B">
            <w:pPr>
              <w:keepLines/>
              <w:spacing w:after="20" w:line="252" w:lineRule="auto"/>
            </w:pPr>
            <w:r>
              <w:rPr>
                <w:sz w:val="20"/>
                <w:szCs w:val="20"/>
              </w:rPr>
              <w:t>3.238</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Internal medicine</w:t>
            </w:r>
          </w:p>
        </w:tc>
        <w:tc>
          <w:tcPr>
            <w:tcW w:w="992" w:type="dxa"/>
            <w:vAlign w:val="center"/>
          </w:tcPr>
          <w:p w:rsidR="00870BC8" w:rsidRDefault="00EF028E" w:rsidP="0089738B">
            <w:pPr>
              <w:keepLines/>
              <w:spacing w:after="20" w:line="252" w:lineRule="auto"/>
            </w:pPr>
            <w:r>
              <w:rPr>
                <w:sz w:val="20"/>
                <w:szCs w:val="20"/>
              </w:rPr>
              <w:t>20.671</w:t>
            </w:r>
          </w:p>
        </w:tc>
        <w:tc>
          <w:tcPr>
            <w:tcW w:w="992" w:type="dxa"/>
            <w:vAlign w:val="center"/>
          </w:tcPr>
          <w:p w:rsidR="00870BC8" w:rsidRDefault="00EF028E" w:rsidP="0089738B">
            <w:pPr>
              <w:keepLines/>
              <w:spacing w:after="20" w:line="252" w:lineRule="auto"/>
            </w:pPr>
            <w:r>
              <w:rPr>
                <w:sz w:val="20"/>
                <w:szCs w:val="20"/>
              </w:rPr>
              <w:t>21.787</w:t>
            </w:r>
          </w:p>
        </w:tc>
        <w:tc>
          <w:tcPr>
            <w:tcW w:w="992" w:type="dxa"/>
            <w:vAlign w:val="center"/>
          </w:tcPr>
          <w:p w:rsidR="00870BC8" w:rsidRDefault="00EF028E" w:rsidP="0089738B">
            <w:pPr>
              <w:keepLines/>
              <w:spacing w:after="20" w:line="252" w:lineRule="auto"/>
            </w:pPr>
            <w:r>
              <w:rPr>
                <w:sz w:val="20"/>
                <w:szCs w:val="20"/>
              </w:rPr>
              <w:t>18.417</w:t>
            </w:r>
          </w:p>
        </w:tc>
        <w:tc>
          <w:tcPr>
            <w:tcW w:w="992" w:type="dxa"/>
            <w:vAlign w:val="center"/>
          </w:tcPr>
          <w:p w:rsidR="00870BC8" w:rsidRDefault="00EF028E" w:rsidP="0089738B">
            <w:pPr>
              <w:keepLines/>
              <w:spacing w:after="20" w:line="252" w:lineRule="auto"/>
            </w:pPr>
            <w:r>
              <w:rPr>
                <w:sz w:val="20"/>
                <w:szCs w:val="20"/>
              </w:rPr>
              <w:t>10.467</w:t>
            </w:r>
          </w:p>
        </w:tc>
        <w:tc>
          <w:tcPr>
            <w:tcW w:w="992" w:type="dxa"/>
            <w:vAlign w:val="center"/>
          </w:tcPr>
          <w:p w:rsidR="00870BC8" w:rsidRDefault="00EF028E" w:rsidP="0089738B">
            <w:pPr>
              <w:keepLines/>
              <w:spacing w:after="20" w:line="252" w:lineRule="auto"/>
            </w:pPr>
            <w:r>
              <w:rPr>
                <w:sz w:val="20"/>
                <w:szCs w:val="20"/>
              </w:rPr>
              <w:t>60.000</w:t>
            </w:r>
          </w:p>
        </w:tc>
        <w:tc>
          <w:tcPr>
            <w:tcW w:w="992" w:type="dxa"/>
            <w:vAlign w:val="center"/>
          </w:tcPr>
          <w:p w:rsidR="00870BC8" w:rsidRDefault="00EF028E" w:rsidP="0089738B">
            <w:pPr>
              <w:keepLines/>
              <w:spacing w:after="20" w:line="252" w:lineRule="auto"/>
            </w:pPr>
            <w:r>
              <w:rPr>
                <w:sz w:val="20"/>
                <w:szCs w:val="20"/>
              </w:rPr>
              <w:t>8.179</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Laboratory</w:t>
            </w:r>
          </w:p>
        </w:tc>
        <w:tc>
          <w:tcPr>
            <w:tcW w:w="992" w:type="dxa"/>
            <w:vAlign w:val="center"/>
          </w:tcPr>
          <w:p w:rsidR="00870BC8" w:rsidRDefault="00EF028E" w:rsidP="0089738B">
            <w:pPr>
              <w:keepLines/>
              <w:spacing w:after="20" w:line="252" w:lineRule="auto"/>
            </w:pPr>
            <w:r>
              <w:rPr>
                <w:sz w:val="20"/>
                <w:szCs w:val="20"/>
              </w:rPr>
              <w:t>8.146</w:t>
            </w:r>
          </w:p>
        </w:tc>
        <w:tc>
          <w:tcPr>
            <w:tcW w:w="992" w:type="dxa"/>
            <w:vAlign w:val="center"/>
          </w:tcPr>
          <w:p w:rsidR="00870BC8" w:rsidRDefault="00EF028E" w:rsidP="0089738B">
            <w:pPr>
              <w:keepLines/>
              <w:spacing w:after="20" w:line="252" w:lineRule="auto"/>
            </w:pPr>
            <w:r>
              <w:rPr>
                <w:sz w:val="20"/>
                <w:szCs w:val="20"/>
              </w:rPr>
              <w:t>7.948</w:t>
            </w:r>
          </w:p>
        </w:tc>
        <w:tc>
          <w:tcPr>
            <w:tcW w:w="992" w:type="dxa"/>
            <w:vAlign w:val="center"/>
          </w:tcPr>
          <w:p w:rsidR="00870BC8" w:rsidRDefault="00EF028E" w:rsidP="0089738B">
            <w:pPr>
              <w:keepLines/>
              <w:spacing w:after="20" w:line="252" w:lineRule="auto"/>
            </w:pPr>
            <w:r>
              <w:rPr>
                <w:sz w:val="20"/>
                <w:szCs w:val="20"/>
              </w:rPr>
              <w:t>8.814</w:t>
            </w:r>
          </w:p>
        </w:tc>
        <w:tc>
          <w:tcPr>
            <w:tcW w:w="992" w:type="dxa"/>
            <w:vAlign w:val="center"/>
          </w:tcPr>
          <w:p w:rsidR="00870BC8" w:rsidRDefault="00EF028E" w:rsidP="0089738B">
            <w:pPr>
              <w:keepLines/>
              <w:spacing w:after="20" w:line="252" w:lineRule="auto"/>
            </w:pPr>
            <w:r>
              <w:rPr>
                <w:sz w:val="20"/>
                <w:szCs w:val="20"/>
              </w:rPr>
              <w:t>4.125</w:t>
            </w:r>
          </w:p>
        </w:tc>
        <w:tc>
          <w:tcPr>
            <w:tcW w:w="992" w:type="dxa"/>
            <w:vAlign w:val="center"/>
          </w:tcPr>
          <w:p w:rsidR="00870BC8" w:rsidRDefault="00EF028E" w:rsidP="0089738B">
            <w:pPr>
              <w:keepLines/>
              <w:spacing w:after="20" w:line="252" w:lineRule="auto"/>
            </w:pPr>
            <w:r>
              <w:rPr>
                <w:sz w:val="20"/>
                <w:szCs w:val="20"/>
              </w:rPr>
              <w:t>4.065</w:t>
            </w:r>
          </w:p>
        </w:tc>
        <w:tc>
          <w:tcPr>
            <w:tcW w:w="992" w:type="dxa"/>
            <w:vAlign w:val="center"/>
          </w:tcPr>
          <w:p w:rsidR="00870BC8" w:rsidRDefault="00EF028E" w:rsidP="0089738B">
            <w:pPr>
              <w:keepLines/>
              <w:spacing w:after="20" w:line="252" w:lineRule="auto"/>
            </w:pPr>
            <w:r>
              <w:rPr>
                <w:sz w:val="20"/>
                <w:szCs w:val="20"/>
              </w:rPr>
              <w:t>3.914</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Outpatient</w:t>
            </w:r>
          </w:p>
        </w:tc>
        <w:tc>
          <w:tcPr>
            <w:tcW w:w="992" w:type="dxa"/>
            <w:vAlign w:val="center"/>
          </w:tcPr>
          <w:p w:rsidR="00870BC8" w:rsidRDefault="00EF028E" w:rsidP="0089738B">
            <w:pPr>
              <w:keepLines/>
              <w:spacing w:after="20" w:line="252" w:lineRule="auto"/>
            </w:pPr>
            <w:r>
              <w:rPr>
                <w:sz w:val="20"/>
                <w:szCs w:val="20"/>
              </w:rPr>
              <w:t>19.978</w:t>
            </w:r>
          </w:p>
        </w:tc>
        <w:tc>
          <w:tcPr>
            <w:tcW w:w="992" w:type="dxa"/>
            <w:vAlign w:val="center"/>
          </w:tcPr>
          <w:p w:rsidR="00870BC8" w:rsidRDefault="00EF028E" w:rsidP="0089738B">
            <w:pPr>
              <w:keepLines/>
              <w:spacing w:after="20" w:line="252" w:lineRule="auto"/>
            </w:pPr>
            <w:r>
              <w:rPr>
                <w:sz w:val="20"/>
                <w:szCs w:val="20"/>
              </w:rPr>
              <w:t>21.195</w:t>
            </w:r>
          </w:p>
        </w:tc>
        <w:tc>
          <w:tcPr>
            <w:tcW w:w="992" w:type="dxa"/>
            <w:vAlign w:val="center"/>
          </w:tcPr>
          <w:p w:rsidR="00870BC8" w:rsidRDefault="00EF028E" w:rsidP="0089738B">
            <w:pPr>
              <w:keepLines/>
              <w:spacing w:after="20" w:line="252" w:lineRule="auto"/>
            </w:pPr>
            <w:r>
              <w:rPr>
                <w:sz w:val="20"/>
                <w:szCs w:val="20"/>
              </w:rPr>
              <w:t>20.294</w:t>
            </w:r>
          </w:p>
        </w:tc>
        <w:tc>
          <w:tcPr>
            <w:tcW w:w="992" w:type="dxa"/>
            <w:vAlign w:val="center"/>
          </w:tcPr>
          <w:p w:rsidR="00870BC8" w:rsidRDefault="00EF028E" w:rsidP="0089738B">
            <w:pPr>
              <w:keepLines/>
              <w:spacing w:after="20" w:line="252" w:lineRule="auto"/>
            </w:pPr>
            <w:r>
              <w:rPr>
                <w:sz w:val="20"/>
                <w:szCs w:val="20"/>
              </w:rPr>
              <w:t>10.116</w:t>
            </w:r>
          </w:p>
        </w:tc>
        <w:tc>
          <w:tcPr>
            <w:tcW w:w="992" w:type="dxa"/>
            <w:vAlign w:val="center"/>
          </w:tcPr>
          <w:p w:rsidR="00870BC8" w:rsidRDefault="00EF028E" w:rsidP="0089738B">
            <w:pPr>
              <w:keepLines/>
              <w:spacing w:after="20" w:line="252" w:lineRule="auto"/>
            </w:pPr>
            <w:r>
              <w:rPr>
                <w:sz w:val="20"/>
                <w:szCs w:val="20"/>
              </w:rPr>
              <w:t>10.840</w:t>
            </w:r>
          </w:p>
        </w:tc>
        <w:tc>
          <w:tcPr>
            <w:tcW w:w="992" w:type="dxa"/>
            <w:vAlign w:val="center"/>
          </w:tcPr>
          <w:p w:rsidR="00870BC8" w:rsidRDefault="00EF028E" w:rsidP="0089738B">
            <w:pPr>
              <w:keepLines/>
              <w:spacing w:after="20" w:line="252" w:lineRule="auto"/>
            </w:pPr>
            <w:r>
              <w:rPr>
                <w:sz w:val="20"/>
                <w:szCs w:val="20"/>
              </w:rPr>
              <w:t>9.012</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Pharmacy</w:t>
            </w:r>
          </w:p>
        </w:tc>
        <w:tc>
          <w:tcPr>
            <w:tcW w:w="992" w:type="dxa"/>
            <w:vAlign w:val="center"/>
          </w:tcPr>
          <w:p w:rsidR="00870BC8" w:rsidRDefault="00EF028E" w:rsidP="0089738B">
            <w:pPr>
              <w:keepLines/>
              <w:spacing w:after="20" w:line="252" w:lineRule="auto"/>
            </w:pPr>
            <w:r>
              <w:rPr>
                <w:sz w:val="20"/>
                <w:szCs w:val="20"/>
              </w:rPr>
              <w:t>8.479</w:t>
            </w:r>
          </w:p>
        </w:tc>
        <w:tc>
          <w:tcPr>
            <w:tcW w:w="992" w:type="dxa"/>
            <w:vAlign w:val="center"/>
          </w:tcPr>
          <w:p w:rsidR="00870BC8" w:rsidRDefault="00EF028E" w:rsidP="0089738B">
            <w:pPr>
              <w:keepLines/>
              <w:spacing w:after="20" w:line="252" w:lineRule="auto"/>
            </w:pPr>
            <w:r>
              <w:rPr>
                <w:sz w:val="20"/>
                <w:szCs w:val="20"/>
              </w:rPr>
              <w:t>7.554</w:t>
            </w:r>
          </w:p>
        </w:tc>
        <w:tc>
          <w:tcPr>
            <w:tcW w:w="992" w:type="dxa"/>
            <w:vAlign w:val="center"/>
          </w:tcPr>
          <w:p w:rsidR="00870BC8" w:rsidRDefault="00EF028E" w:rsidP="0089738B">
            <w:pPr>
              <w:keepLines/>
              <w:spacing w:after="20" w:line="252" w:lineRule="auto"/>
            </w:pPr>
            <w:r>
              <w:rPr>
                <w:sz w:val="20"/>
                <w:szCs w:val="20"/>
              </w:rPr>
              <w:t>8.025</w:t>
            </w:r>
          </w:p>
        </w:tc>
        <w:tc>
          <w:tcPr>
            <w:tcW w:w="992" w:type="dxa"/>
            <w:vAlign w:val="center"/>
          </w:tcPr>
          <w:p w:rsidR="00870BC8" w:rsidRDefault="00EF028E" w:rsidP="0089738B">
            <w:pPr>
              <w:keepLines/>
              <w:spacing w:after="20" w:line="252" w:lineRule="auto"/>
            </w:pPr>
            <w:r>
              <w:rPr>
                <w:sz w:val="20"/>
                <w:szCs w:val="20"/>
              </w:rPr>
              <w:t>4.293</w:t>
            </w:r>
          </w:p>
        </w:tc>
        <w:tc>
          <w:tcPr>
            <w:tcW w:w="992" w:type="dxa"/>
            <w:vAlign w:val="center"/>
          </w:tcPr>
          <w:p w:rsidR="00870BC8" w:rsidRDefault="00EF028E" w:rsidP="0089738B">
            <w:pPr>
              <w:keepLines/>
              <w:spacing w:after="20" w:line="252" w:lineRule="auto"/>
            </w:pPr>
            <w:r>
              <w:rPr>
                <w:sz w:val="20"/>
                <w:szCs w:val="20"/>
              </w:rPr>
              <w:t>3.863</w:t>
            </w:r>
          </w:p>
        </w:tc>
        <w:tc>
          <w:tcPr>
            <w:tcW w:w="992" w:type="dxa"/>
            <w:vAlign w:val="center"/>
          </w:tcPr>
          <w:p w:rsidR="00870BC8" w:rsidRDefault="00EF028E" w:rsidP="0089738B">
            <w:pPr>
              <w:keepLines/>
              <w:spacing w:after="20" w:line="252" w:lineRule="auto"/>
            </w:pPr>
            <w:r>
              <w:rPr>
                <w:sz w:val="20"/>
                <w:szCs w:val="20"/>
              </w:rPr>
              <w:t>3.564</w:t>
            </w:r>
          </w:p>
        </w:tc>
      </w:tr>
      <w:tr w:rsidR="00870BC8">
        <w:trPr>
          <w:cantSplit/>
          <w:jc w:val="center"/>
        </w:trPr>
        <w:tc>
          <w:tcPr>
            <w:tcW w:w="2551" w:type="dxa"/>
            <w:vAlign w:val="center"/>
          </w:tcPr>
          <w:p w:rsidR="00870BC8" w:rsidRDefault="00EF028E" w:rsidP="0089738B">
            <w:pPr>
              <w:keepLines/>
              <w:spacing w:after="20" w:line="252" w:lineRule="auto"/>
            </w:pPr>
            <w:r>
              <w:rPr>
                <w:sz w:val="20"/>
                <w:szCs w:val="20"/>
              </w:rPr>
              <w:t>Radiology</w:t>
            </w:r>
          </w:p>
        </w:tc>
        <w:tc>
          <w:tcPr>
            <w:tcW w:w="992" w:type="dxa"/>
            <w:vAlign w:val="center"/>
          </w:tcPr>
          <w:p w:rsidR="00870BC8" w:rsidRDefault="00EF028E" w:rsidP="0089738B">
            <w:pPr>
              <w:keepLines/>
              <w:spacing w:after="20" w:line="252" w:lineRule="auto"/>
            </w:pPr>
            <w:r>
              <w:rPr>
                <w:sz w:val="20"/>
                <w:szCs w:val="20"/>
              </w:rPr>
              <w:t>5.181</w:t>
            </w:r>
          </w:p>
        </w:tc>
        <w:tc>
          <w:tcPr>
            <w:tcW w:w="992" w:type="dxa"/>
            <w:vAlign w:val="center"/>
          </w:tcPr>
          <w:p w:rsidR="00870BC8" w:rsidRDefault="00EF028E" w:rsidP="0089738B">
            <w:pPr>
              <w:keepLines/>
              <w:spacing w:after="20" w:line="252" w:lineRule="auto"/>
            </w:pPr>
            <w:r>
              <w:rPr>
                <w:sz w:val="20"/>
                <w:szCs w:val="20"/>
              </w:rPr>
              <w:t>5.383</w:t>
            </w:r>
          </w:p>
        </w:tc>
        <w:tc>
          <w:tcPr>
            <w:tcW w:w="992" w:type="dxa"/>
            <w:vAlign w:val="center"/>
          </w:tcPr>
          <w:p w:rsidR="00870BC8" w:rsidRDefault="00EF028E" w:rsidP="0089738B">
            <w:pPr>
              <w:keepLines/>
              <w:spacing w:after="20" w:line="252" w:lineRule="auto"/>
            </w:pPr>
            <w:r>
              <w:rPr>
                <w:sz w:val="20"/>
                <w:szCs w:val="20"/>
              </w:rPr>
              <w:t>5.223</w:t>
            </w:r>
          </w:p>
        </w:tc>
        <w:tc>
          <w:tcPr>
            <w:tcW w:w="992" w:type="dxa"/>
            <w:vAlign w:val="center"/>
          </w:tcPr>
          <w:p w:rsidR="00870BC8" w:rsidRDefault="00EF028E" w:rsidP="0089738B">
            <w:pPr>
              <w:keepLines/>
              <w:spacing w:after="20" w:line="252" w:lineRule="auto"/>
            </w:pPr>
            <w:r>
              <w:rPr>
                <w:sz w:val="20"/>
                <w:szCs w:val="20"/>
              </w:rPr>
              <w:t>2.624</w:t>
            </w:r>
          </w:p>
        </w:tc>
        <w:tc>
          <w:tcPr>
            <w:tcW w:w="992" w:type="dxa"/>
            <w:vAlign w:val="center"/>
          </w:tcPr>
          <w:p w:rsidR="00870BC8" w:rsidRDefault="00EF028E" w:rsidP="0089738B">
            <w:pPr>
              <w:keepLines/>
              <w:spacing w:after="20" w:line="252" w:lineRule="auto"/>
            </w:pPr>
            <w:r>
              <w:rPr>
                <w:sz w:val="20"/>
                <w:szCs w:val="20"/>
              </w:rPr>
              <w:t>2.753</w:t>
            </w:r>
          </w:p>
        </w:tc>
        <w:tc>
          <w:tcPr>
            <w:tcW w:w="992" w:type="dxa"/>
            <w:vAlign w:val="center"/>
          </w:tcPr>
          <w:p w:rsidR="00870BC8" w:rsidRDefault="00EF028E" w:rsidP="0089738B">
            <w:pPr>
              <w:keepLines/>
              <w:spacing w:after="20" w:line="252" w:lineRule="auto"/>
            </w:pPr>
            <w:r>
              <w:rPr>
                <w:sz w:val="20"/>
                <w:szCs w:val="20"/>
              </w:rPr>
              <w:t>2.320</w:t>
            </w:r>
          </w:p>
        </w:tc>
      </w:tr>
      <w:tr w:rsidR="00870BC8">
        <w:trPr>
          <w:cantSplit/>
          <w:jc w:val="center"/>
        </w:trPr>
        <w:tc>
          <w:tcPr>
            <w:tcW w:w="2551" w:type="dxa"/>
            <w:vAlign w:val="center"/>
          </w:tcPr>
          <w:p w:rsidR="00870BC8" w:rsidRDefault="00EF028E" w:rsidP="0089738B">
            <w:pPr>
              <w:keepNext/>
              <w:keepLines/>
              <w:spacing w:after="20" w:line="252" w:lineRule="auto"/>
            </w:pPr>
            <w:r>
              <w:rPr>
                <w:sz w:val="20"/>
                <w:szCs w:val="20"/>
              </w:rPr>
              <w:t>Surgery</w:t>
            </w:r>
          </w:p>
        </w:tc>
        <w:tc>
          <w:tcPr>
            <w:tcW w:w="992" w:type="dxa"/>
            <w:vAlign w:val="center"/>
          </w:tcPr>
          <w:p w:rsidR="00870BC8" w:rsidRDefault="00EF028E" w:rsidP="0089738B">
            <w:pPr>
              <w:keepNext/>
              <w:keepLines/>
              <w:spacing w:after="20" w:line="252" w:lineRule="auto"/>
            </w:pPr>
            <w:r>
              <w:rPr>
                <w:sz w:val="20"/>
                <w:szCs w:val="20"/>
              </w:rPr>
              <w:t>10.557</w:t>
            </w:r>
          </w:p>
        </w:tc>
        <w:tc>
          <w:tcPr>
            <w:tcW w:w="992" w:type="dxa"/>
            <w:vAlign w:val="center"/>
          </w:tcPr>
          <w:p w:rsidR="00870BC8" w:rsidRDefault="00EF028E" w:rsidP="0089738B">
            <w:pPr>
              <w:keepNext/>
              <w:keepLines/>
              <w:spacing w:after="20" w:line="252" w:lineRule="auto"/>
            </w:pPr>
            <w:r>
              <w:rPr>
                <w:sz w:val="20"/>
                <w:szCs w:val="20"/>
              </w:rPr>
              <w:t>6.285</w:t>
            </w:r>
          </w:p>
        </w:tc>
        <w:tc>
          <w:tcPr>
            <w:tcW w:w="992" w:type="dxa"/>
            <w:vAlign w:val="center"/>
          </w:tcPr>
          <w:p w:rsidR="00870BC8" w:rsidRDefault="00EF028E" w:rsidP="0089738B">
            <w:pPr>
              <w:keepNext/>
              <w:keepLines/>
              <w:spacing w:after="20" w:line="252" w:lineRule="auto"/>
            </w:pPr>
            <w:r>
              <w:rPr>
                <w:sz w:val="20"/>
                <w:szCs w:val="20"/>
              </w:rPr>
              <w:t>9.929</w:t>
            </w:r>
          </w:p>
        </w:tc>
        <w:tc>
          <w:tcPr>
            <w:tcW w:w="992" w:type="dxa"/>
            <w:vAlign w:val="center"/>
          </w:tcPr>
          <w:p w:rsidR="00870BC8" w:rsidRDefault="00EF028E" w:rsidP="0089738B">
            <w:pPr>
              <w:keepNext/>
              <w:keepLines/>
              <w:spacing w:after="20" w:line="252" w:lineRule="auto"/>
            </w:pPr>
            <w:r>
              <w:rPr>
                <w:sz w:val="20"/>
                <w:szCs w:val="20"/>
              </w:rPr>
              <w:t>5.345</w:t>
            </w:r>
          </w:p>
        </w:tc>
        <w:tc>
          <w:tcPr>
            <w:tcW w:w="992" w:type="dxa"/>
            <w:vAlign w:val="center"/>
          </w:tcPr>
          <w:p w:rsidR="00870BC8" w:rsidRDefault="00EF028E" w:rsidP="0089738B">
            <w:pPr>
              <w:keepNext/>
              <w:keepLines/>
              <w:spacing w:after="20" w:line="252" w:lineRule="auto"/>
            </w:pPr>
            <w:r>
              <w:rPr>
                <w:sz w:val="20"/>
                <w:szCs w:val="20"/>
              </w:rPr>
              <w:t>3.214</w:t>
            </w:r>
          </w:p>
        </w:tc>
        <w:tc>
          <w:tcPr>
            <w:tcW w:w="992" w:type="dxa"/>
            <w:vAlign w:val="center"/>
          </w:tcPr>
          <w:p w:rsidR="00870BC8" w:rsidRDefault="00EF028E" w:rsidP="0089738B">
            <w:pPr>
              <w:keepNext/>
              <w:keepLines/>
              <w:spacing w:after="20" w:line="252" w:lineRule="auto"/>
            </w:pPr>
            <w:r>
              <w:rPr>
                <w:sz w:val="20"/>
                <w:szCs w:val="20"/>
              </w:rPr>
              <w:t>60.000</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33" w:name="610y1lu1hnjc" w:colFirst="0" w:colLast="0"/>
      <w:bookmarkEnd w:id="33"/>
      <w:r>
        <w:rPr>
          <w:color w:val="000000"/>
          <w:sz w:val="20"/>
          <w:szCs w:val="20"/>
        </w:rPr>
        <w:t>Note. Ref. is the original session distribution; NI is the expected sampling probability. Client counts were 3,609/3,548/3,676. Pooled training used the same sampled occurrences. Totals may differ from 100% through rounding.</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34" w:name="Ref_Table_B_3"/>
      <w:bookmarkStart w:id="35" w:name="_Toc243863259"/>
      <w:r>
        <w:t>Table B.3</w:t>
      </w:r>
      <w:bookmarkEnd w:id="34"/>
      <w:r>
        <w:t>: Observed Non-IID sampling in the first five rounds</w:t>
      </w:r>
      <w:bookmarkEnd w:id="35"/>
    </w:p>
    <w:tbl>
      <w:tblPr>
        <w:tblStyle w:val="aff1"/>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
        <w:gridCol w:w="1814"/>
        <w:gridCol w:w="1814"/>
        <w:gridCol w:w="1814"/>
        <w:gridCol w:w="2211"/>
      </w:tblGrid>
      <w:tr w:rsidR="00870BC8">
        <w:trPr>
          <w:cantSplit/>
          <w:tblHeader/>
          <w:jc w:val="center"/>
        </w:trPr>
        <w:tc>
          <w:tcPr>
            <w:tcW w:w="850" w:type="dxa"/>
            <w:shd w:val="clear" w:color="auto" w:fill="F2F2F2"/>
            <w:vAlign w:val="center"/>
          </w:tcPr>
          <w:p w:rsidR="00870BC8" w:rsidRDefault="00EF028E" w:rsidP="0089738B">
            <w:pPr>
              <w:keepNext/>
              <w:keepLines/>
              <w:spacing w:after="20" w:line="252" w:lineRule="auto"/>
            </w:pPr>
            <w:r>
              <w:rPr>
                <w:b/>
                <w:bCs/>
                <w:sz w:val="20"/>
                <w:szCs w:val="20"/>
              </w:rPr>
              <w:t>Seed</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C1 dominant (%)</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C2 dominant (%)</w:t>
            </w:r>
          </w:p>
        </w:tc>
        <w:tc>
          <w:tcPr>
            <w:tcW w:w="1814" w:type="dxa"/>
            <w:shd w:val="clear" w:color="auto" w:fill="F2F2F2"/>
            <w:vAlign w:val="center"/>
          </w:tcPr>
          <w:p w:rsidR="00870BC8" w:rsidRDefault="00EF028E" w:rsidP="0089738B">
            <w:pPr>
              <w:keepNext/>
              <w:keepLines/>
              <w:spacing w:after="20" w:line="252" w:lineRule="auto"/>
            </w:pPr>
            <w:r>
              <w:rPr>
                <w:b/>
                <w:bCs/>
                <w:sz w:val="20"/>
                <w:szCs w:val="20"/>
              </w:rPr>
              <w:t>C3 dominant (%)</w:t>
            </w:r>
          </w:p>
        </w:tc>
        <w:tc>
          <w:tcPr>
            <w:tcW w:w="2211" w:type="dxa"/>
            <w:shd w:val="clear" w:color="auto" w:fill="F2F2F2"/>
            <w:vAlign w:val="center"/>
          </w:tcPr>
          <w:p w:rsidR="00870BC8" w:rsidRDefault="00EF028E" w:rsidP="0089738B">
            <w:pPr>
              <w:keepNext/>
              <w:keepLines/>
              <w:spacing w:after="20" w:line="252" w:lineRule="auto"/>
            </w:pPr>
            <w:r>
              <w:rPr>
                <w:b/>
                <w:bCs/>
                <w:sz w:val="20"/>
                <w:szCs w:val="20"/>
              </w:rPr>
              <w:t>Mean pairwise JSD (bits)</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11</w:t>
            </w:r>
          </w:p>
        </w:tc>
        <w:tc>
          <w:tcPr>
            <w:tcW w:w="1814" w:type="dxa"/>
            <w:vAlign w:val="center"/>
          </w:tcPr>
          <w:p w:rsidR="00870BC8" w:rsidRDefault="00EF028E" w:rsidP="0089738B">
            <w:pPr>
              <w:keepLines/>
              <w:spacing w:after="20" w:line="252" w:lineRule="auto"/>
            </w:pPr>
            <w:r>
              <w:rPr>
                <w:sz w:val="20"/>
                <w:szCs w:val="20"/>
              </w:rPr>
              <w:t>60.449</w:t>
            </w:r>
          </w:p>
        </w:tc>
        <w:tc>
          <w:tcPr>
            <w:tcW w:w="1814" w:type="dxa"/>
            <w:vAlign w:val="center"/>
          </w:tcPr>
          <w:p w:rsidR="00870BC8" w:rsidRDefault="00EF028E" w:rsidP="0089738B">
            <w:pPr>
              <w:keepLines/>
              <w:spacing w:after="20" w:line="252" w:lineRule="auto"/>
            </w:pPr>
            <w:r>
              <w:rPr>
                <w:sz w:val="20"/>
                <w:szCs w:val="20"/>
              </w:rPr>
              <w:t>59.622</w:t>
            </w:r>
          </w:p>
        </w:tc>
        <w:tc>
          <w:tcPr>
            <w:tcW w:w="1814" w:type="dxa"/>
            <w:vAlign w:val="center"/>
          </w:tcPr>
          <w:p w:rsidR="00870BC8" w:rsidRDefault="00EF028E" w:rsidP="0089738B">
            <w:pPr>
              <w:keepLines/>
              <w:spacing w:after="20" w:line="252" w:lineRule="auto"/>
            </w:pPr>
            <w:r>
              <w:rPr>
                <w:sz w:val="20"/>
                <w:szCs w:val="20"/>
              </w:rPr>
              <w:t>60.092</w:t>
            </w:r>
          </w:p>
        </w:tc>
        <w:tc>
          <w:tcPr>
            <w:tcW w:w="2211" w:type="dxa"/>
            <w:vAlign w:val="center"/>
          </w:tcPr>
          <w:p w:rsidR="00870BC8" w:rsidRDefault="00EF028E" w:rsidP="0089738B">
            <w:pPr>
              <w:keepLines/>
              <w:spacing w:after="20" w:line="252" w:lineRule="auto"/>
            </w:pPr>
            <w:r>
              <w:rPr>
                <w:sz w:val="20"/>
                <w:szCs w:val="20"/>
              </w:rPr>
              <w:t>0.331324</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29</w:t>
            </w:r>
          </w:p>
        </w:tc>
        <w:tc>
          <w:tcPr>
            <w:tcW w:w="1814" w:type="dxa"/>
            <w:vAlign w:val="center"/>
          </w:tcPr>
          <w:p w:rsidR="00870BC8" w:rsidRDefault="00EF028E" w:rsidP="0089738B">
            <w:pPr>
              <w:keepLines/>
              <w:spacing w:after="20" w:line="252" w:lineRule="auto"/>
            </w:pPr>
            <w:r>
              <w:rPr>
                <w:sz w:val="20"/>
                <w:szCs w:val="20"/>
              </w:rPr>
              <w:t>60.105</w:t>
            </w:r>
          </w:p>
        </w:tc>
        <w:tc>
          <w:tcPr>
            <w:tcW w:w="1814" w:type="dxa"/>
            <w:vAlign w:val="center"/>
          </w:tcPr>
          <w:p w:rsidR="00870BC8" w:rsidRDefault="00EF028E" w:rsidP="0089738B">
            <w:pPr>
              <w:keepLines/>
              <w:spacing w:after="20" w:line="252" w:lineRule="auto"/>
            </w:pPr>
            <w:r>
              <w:rPr>
                <w:sz w:val="20"/>
                <w:szCs w:val="20"/>
              </w:rPr>
              <w:t>59.667</w:t>
            </w:r>
          </w:p>
        </w:tc>
        <w:tc>
          <w:tcPr>
            <w:tcW w:w="1814" w:type="dxa"/>
            <w:vAlign w:val="center"/>
          </w:tcPr>
          <w:p w:rsidR="00870BC8" w:rsidRDefault="00EF028E" w:rsidP="0089738B">
            <w:pPr>
              <w:keepLines/>
              <w:spacing w:after="20" w:line="252" w:lineRule="auto"/>
            </w:pPr>
            <w:r>
              <w:rPr>
                <w:sz w:val="20"/>
                <w:szCs w:val="20"/>
              </w:rPr>
              <w:t>60.413</w:t>
            </w:r>
          </w:p>
        </w:tc>
        <w:tc>
          <w:tcPr>
            <w:tcW w:w="2211" w:type="dxa"/>
            <w:vAlign w:val="center"/>
          </w:tcPr>
          <w:p w:rsidR="00870BC8" w:rsidRDefault="00EF028E" w:rsidP="0089738B">
            <w:pPr>
              <w:keepLines/>
              <w:spacing w:after="20" w:line="252" w:lineRule="auto"/>
            </w:pPr>
            <w:r>
              <w:rPr>
                <w:sz w:val="20"/>
                <w:szCs w:val="20"/>
              </w:rPr>
              <w:t>0.334005</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lastRenderedPageBreak/>
              <w:t>47</w:t>
            </w:r>
          </w:p>
        </w:tc>
        <w:tc>
          <w:tcPr>
            <w:tcW w:w="1814" w:type="dxa"/>
            <w:vAlign w:val="center"/>
          </w:tcPr>
          <w:p w:rsidR="00870BC8" w:rsidRDefault="00EF028E" w:rsidP="0089738B">
            <w:pPr>
              <w:keepLines/>
              <w:spacing w:after="20" w:line="252" w:lineRule="auto"/>
            </w:pPr>
            <w:r>
              <w:rPr>
                <w:sz w:val="20"/>
                <w:szCs w:val="20"/>
              </w:rPr>
              <w:t>60.083</w:t>
            </w:r>
          </w:p>
        </w:tc>
        <w:tc>
          <w:tcPr>
            <w:tcW w:w="1814" w:type="dxa"/>
            <w:vAlign w:val="center"/>
          </w:tcPr>
          <w:p w:rsidR="00870BC8" w:rsidRDefault="00EF028E" w:rsidP="0089738B">
            <w:pPr>
              <w:keepLines/>
              <w:spacing w:after="20" w:line="252" w:lineRule="auto"/>
            </w:pPr>
            <w:r>
              <w:rPr>
                <w:sz w:val="20"/>
                <w:szCs w:val="20"/>
              </w:rPr>
              <w:t>60.023</w:t>
            </w:r>
          </w:p>
        </w:tc>
        <w:tc>
          <w:tcPr>
            <w:tcW w:w="1814" w:type="dxa"/>
            <w:vAlign w:val="center"/>
          </w:tcPr>
          <w:p w:rsidR="00870BC8" w:rsidRDefault="00EF028E" w:rsidP="0089738B">
            <w:pPr>
              <w:keepLines/>
              <w:spacing w:after="20" w:line="252" w:lineRule="auto"/>
            </w:pPr>
            <w:r>
              <w:rPr>
                <w:sz w:val="20"/>
                <w:szCs w:val="20"/>
              </w:rPr>
              <w:t>60.098</w:t>
            </w:r>
          </w:p>
        </w:tc>
        <w:tc>
          <w:tcPr>
            <w:tcW w:w="2211" w:type="dxa"/>
            <w:vAlign w:val="center"/>
          </w:tcPr>
          <w:p w:rsidR="00870BC8" w:rsidRDefault="00EF028E" w:rsidP="0089738B">
            <w:pPr>
              <w:keepLines/>
              <w:spacing w:after="20" w:line="252" w:lineRule="auto"/>
            </w:pPr>
            <w:r>
              <w:rPr>
                <w:sz w:val="20"/>
                <w:szCs w:val="20"/>
              </w:rPr>
              <w:t>0.332620</w:t>
            </w:r>
          </w:p>
        </w:tc>
      </w:tr>
      <w:tr w:rsidR="00870BC8">
        <w:trPr>
          <w:cantSplit/>
          <w:jc w:val="center"/>
        </w:trPr>
        <w:tc>
          <w:tcPr>
            <w:tcW w:w="850" w:type="dxa"/>
            <w:vAlign w:val="center"/>
          </w:tcPr>
          <w:p w:rsidR="00870BC8" w:rsidRDefault="00EF028E" w:rsidP="0089738B">
            <w:pPr>
              <w:keepLines/>
              <w:spacing w:after="20" w:line="252" w:lineRule="auto"/>
            </w:pPr>
            <w:r>
              <w:rPr>
                <w:sz w:val="20"/>
                <w:szCs w:val="20"/>
              </w:rPr>
              <w:t>71</w:t>
            </w:r>
          </w:p>
        </w:tc>
        <w:tc>
          <w:tcPr>
            <w:tcW w:w="1814" w:type="dxa"/>
            <w:vAlign w:val="center"/>
          </w:tcPr>
          <w:p w:rsidR="00870BC8" w:rsidRDefault="00EF028E" w:rsidP="0089738B">
            <w:pPr>
              <w:keepLines/>
              <w:spacing w:after="20" w:line="252" w:lineRule="auto"/>
            </w:pPr>
            <w:r>
              <w:rPr>
                <w:sz w:val="20"/>
                <w:szCs w:val="20"/>
              </w:rPr>
              <w:t>59.712</w:t>
            </w:r>
          </w:p>
        </w:tc>
        <w:tc>
          <w:tcPr>
            <w:tcW w:w="1814" w:type="dxa"/>
            <w:vAlign w:val="center"/>
          </w:tcPr>
          <w:p w:rsidR="00870BC8" w:rsidRDefault="00EF028E" w:rsidP="0089738B">
            <w:pPr>
              <w:keepLines/>
              <w:spacing w:after="20" w:line="252" w:lineRule="auto"/>
            </w:pPr>
            <w:r>
              <w:rPr>
                <w:sz w:val="20"/>
                <w:szCs w:val="20"/>
              </w:rPr>
              <w:t>59.651</w:t>
            </w:r>
          </w:p>
        </w:tc>
        <w:tc>
          <w:tcPr>
            <w:tcW w:w="1814" w:type="dxa"/>
            <w:vAlign w:val="center"/>
          </w:tcPr>
          <w:p w:rsidR="00870BC8" w:rsidRDefault="00EF028E" w:rsidP="0089738B">
            <w:pPr>
              <w:keepLines/>
              <w:spacing w:after="20" w:line="252" w:lineRule="auto"/>
            </w:pPr>
            <w:r>
              <w:rPr>
                <w:sz w:val="20"/>
                <w:szCs w:val="20"/>
              </w:rPr>
              <w:t>60.386</w:t>
            </w:r>
          </w:p>
        </w:tc>
        <w:tc>
          <w:tcPr>
            <w:tcW w:w="2211" w:type="dxa"/>
            <w:vAlign w:val="center"/>
          </w:tcPr>
          <w:p w:rsidR="00870BC8" w:rsidRDefault="00EF028E" w:rsidP="0089738B">
            <w:pPr>
              <w:keepLines/>
              <w:spacing w:after="20" w:line="252" w:lineRule="auto"/>
            </w:pPr>
            <w:r>
              <w:rPr>
                <w:sz w:val="20"/>
                <w:szCs w:val="20"/>
              </w:rPr>
              <w:t>0.330714</w:t>
            </w:r>
          </w:p>
        </w:tc>
      </w:tr>
      <w:tr w:rsidR="00870BC8">
        <w:trPr>
          <w:cantSplit/>
          <w:jc w:val="center"/>
        </w:trPr>
        <w:tc>
          <w:tcPr>
            <w:tcW w:w="850" w:type="dxa"/>
            <w:vAlign w:val="center"/>
          </w:tcPr>
          <w:p w:rsidR="00870BC8" w:rsidRDefault="00EF028E" w:rsidP="0089738B">
            <w:pPr>
              <w:keepNext/>
              <w:keepLines/>
              <w:spacing w:after="20" w:line="252" w:lineRule="auto"/>
            </w:pPr>
            <w:r>
              <w:rPr>
                <w:sz w:val="20"/>
                <w:szCs w:val="20"/>
              </w:rPr>
              <w:t>97</w:t>
            </w:r>
          </w:p>
        </w:tc>
        <w:tc>
          <w:tcPr>
            <w:tcW w:w="1814" w:type="dxa"/>
            <w:vAlign w:val="center"/>
          </w:tcPr>
          <w:p w:rsidR="00870BC8" w:rsidRDefault="00EF028E" w:rsidP="0089738B">
            <w:pPr>
              <w:keepNext/>
              <w:keepLines/>
              <w:spacing w:after="20" w:line="252" w:lineRule="auto"/>
            </w:pPr>
            <w:r>
              <w:rPr>
                <w:sz w:val="20"/>
                <w:szCs w:val="20"/>
              </w:rPr>
              <w:t>60.366</w:t>
            </w:r>
          </w:p>
        </w:tc>
        <w:tc>
          <w:tcPr>
            <w:tcW w:w="1814" w:type="dxa"/>
            <w:vAlign w:val="center"/>
          </w:tcPr>
          <w:p w:rsidR="00870BC8" w:rsidRDefault="00EF028E" w:rsidP="0089738B">
            <w:pPr>
              <w:keepNext/>
              <w:keepLines/>
              <w:spacing w:after="20" w:line="252" w:lineRule="auto"/>
            </w:pPr>
            <w:r>
              <w:rPr>
                <w:sz w:val="20"/>
                <w:szCs w:val="20"/>
              </w:rPr>
              <w:t>60.203</w:t>
            </w:r>
          </w:p>
        </w:tc>
        <w:tc>
          <w:tcPr>
            <w:tcW w:w="1814" w:type="dxa"/>
            <w:vAlign w:val="center"/>
          </w:tcPr>
          <w:p w:rsidR="00870BC8" w:rsidRDefault="00EF028E" w:rsidP="0089738B">
            <w:pPr>
              <w:keepNext/>
              <w:keepLines/>
              <w:spacing w:after="20" w:line="252" w:lineRule="auto"/>
            </w:pPr>
            <w:r>
              <w:rPr>
                <w:sz w:val="20"/>
                <w:szCs w:val="20"/>
              </w:rPr>
              <w:t>60.174</w:t>
            </w:r>
          </w:p>
        </w:tc>
        <w:tc>
          <w:tcPr>
            <w:tcW w:w="2211" w:type="dxa"/>
            <w:vAlign w:val="center"/>
          </w:tcPr>
          <w:p w:rsidR="00870BC8" w:rsidRDefault="00EF028E" w:rsidP="0089738B">
            <w:pPr>
              <w:keepNext/>
              <w:keepLines/>
              <w:spacing w:after="20" w:line="252" w:lineRule="auto"/>
            </w:pPr>
            <w:r>
              <w:rPr>
                <w:sz w:val="20"/>
                <w:szCs w:val="20"/>
              </w:rPr>
              <w:t>0.334338</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r>
        <w:rPr>
          <w:color w:val="000000"/>
          <w:sz w:val="20"/>
          <w:szCs w:val="20"/>
        </w:rPr>
        <w:t>Note. Baseline and expected JSD were 0.003764955 and 0.330615292 bits. Checks of rounds 1–5 required JSD ≥ 0.10 bits, an increase ≥ 0.05 bits and dominant-department proportion within 0.05 of 0.60; all passed. Repeated sampling matched saved values within 10⁻¹³.</w:t>
      </w:r>
    </w:p>
    <w:p w:rsidR="00870BC8" w:rsidRDefault="00EF028E" w:rsidP="0089738B">
      <w:pPr>
        <w:pStyle w:val="Heading2"/>
      </w:pPr>
      <w:bookmarkStart w:id="36" w:name="w557uzfxyhir" w:colFirst="0" w:colLast="0"/>
      <w:bookmarkStart w:id="37" w:name="_Toc243863203"/>
      <w:bookmarkEnd w:id="36"/>
      <w:r>
        <w:t>B.3 Details of sampling, model construction and measurement</w:t>
      </w:r>
      <w:bookmarkEnd w:id="37"/>
    </w:p>
    <w:p w:rsidR="00870BC8" w:rsidRDefault="00EF028E" w:rsidP="0089738B">
      <w:pPr>
        <w:pBdr>
          <w:top w:val="nil"/>
          <w:left w:val="nil"/>
          <w:bottom w:val="nil"/>
          <w:right w:val="nil"/>
          <w:between w:val="nil"/>
        </w:pBdr>
        <w:spacing w:after="140" w:line="240" w:lineRule="auto"/>
        <w:rPr>
          <w:color w:val="000000"/>
        </w:rPr>
      </w:pPr>
      <w:r>
        <w:rPr>
          <w:color w:val="000000"/>
        </w:rPr>
        <w:t>Sampling seeds were derived by joining ordered components with “|”, encoding as UTF-8, hashing with SHA-256, reading the first eight bytes as unsigned little-endian and reducing modulo 2³². Client-round sampling used (main seed, condition, client, round); pooled shuffling used (main seed, condition, “pooled”, epoch). Sessions were sorted by session_id before sampling. Pooled occurrences were ordered by client and draw position before shuffling, retaining duplicates.</w:t>
      </w:r>
      <w:bookmarkStart w:id="38" w:name="aozb0oazrybd" w:colFirst="0" w:colLast="0"/>
      <w:bookmarkEnd w:id="38"/>
    </w:p>
    <w:p w:rsidR="00870BC8" w:rsidRDefault="00EF028E" w:rsidP="0089738B">
      <w:pPr>
        <w:pBdr>
          <w:top w:val="nil"/>
          <w:left w:val="nil"/>
          <w:bottom w:val="nil"/>
          <w:right w:val="nil"/>
          <w:between w:val="nil"/>
        </w:pBdr>
        <w:spacing w:after="140" w:line="240" w:lineRule="auto"/>
        <w:rPr>
          <w:color w:val="000000"/>
        </w:rPr>
      </w:pPr>
      <w:bookmarkStart w:id="39" w:name="bux9g94v5xml" w:colFirst="0" w:colLast="0"/>
      <w:bookmarkEnd w:id="39"/>
      <w:r>
        <w:rPr>
          <w:color w:val="000000"/>
        </w:rPr>
        <w:t>Each local fit reset Python, NumPy and PyTorch RNGs using derived_seed(main_seed, “client-fit”, client, round), without the condition label. Pooled training retained the fresh_global RNG stream across epochs. Deterministic PyTorch algorithms were enabled; a new optimiser was created for each pooled epoch or local fit. These training seeds did not generate cryptographic keys.</w:t>
      </w:r>
    </w:p>
    <w:p w:rsidR="00870BC8" w:rsidRDefault="00EF028E" w:rsidP="0089738B">
      <w:pPr>
        <w:pBdr>
          <w:top w:val="nil"/>
          <w:left w:val="nil"/>
          <w:bottom w:val="nil"/>
          <w:right w:val="nil"/>
          <w:between w:val="nil"/>
        </w:pBdr>
        <w:spacing w:after="140" w:line="240" w:lineRule="auto"/>
        <w:rPr>
          <w:color w:val="000000"/>
        </w:rPr>
      </w:pPr>
      <w:bookmarkStart w:id="40" w:name="pnbfk59tw03p" w:colFirst="0" w:colLast="0"/>
      <w:bookmarkEnd w:id="40"/>
      <w:r>
        <w:rPr>
          <w:color w:val="000000"/>
        </w:rPr>
        <w:t>Module construction followed encoder, latent projection, decoder, hidden/cell projections, dropout, categorical heads in schema order, binary head and temporal head. Encoder states began at zero; decoder states were projected from the latent code.</w:t>
      </w:r>
    </w:p>
    <w:p w:rsidR="00870BC8" w:rsidRDefault="00EF028E" w:rsidP="0089738B">
      <w:pPr>
        <w:pBdr>
          <w:top w:val="nil"/>
          <w:left w:val="nil"/>
          <w:bottom w:val="nil"/>
          <w:right w:val="nil"/>
          <w:between w:val="nil"/>
        </w:pBdr>
        <w:spacing w:after="140" w:line="240" w:lineRule="auto"/>
        <w:rPr>
          <w:color w:val="000000"/>
        </w:rPr>
      </w:pPr>
      <w:r>
        <w:t xml:space="preserve">Public inputs were [−1,0,1,2], [2,1,−2,0] and [0,3,1,−1]. Non-grid inputs added (i+1)[0.001,0.023,−0.041,0.079] in float32, with zero-based client index i. Expected averages used float64 applied to the actual float32 inputs; </w:t>
      </w:r>
      <w:r>
        <w:fldChar w:fldCharType="begin"/>
      </w:r>
      <w:r>
        <w:instrText xml:space="preserve"> REF Ref_Table_B_4 \h </w:instrText>
      </w:r>
      <w:r>
        <w:fldChar w:fldCharType="separate"/>
      </w:r>
      <w:r w:rsidR="009C065B">
        <w:t>Table B.4</w:t>
      </w:r>
      <w:r>
        <w:fldChar w:fldCharType="end"/>
      </w:r>
      <w:r>
        <w:t xml:space="preserve"> gives the error allowance.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41" w:name="Ref_Table_B_4"/>
      <w:bookmarkStart w:id="42" w:name="_Toc243863260"/>
      <w:r>
        <w:t>Table B.4</w:t>
      </w:r>
      <w:bookmarkEnd w:id="41"/>
      <w:r>
        <w:t>: Numerical assumptions for public-vector checks</w:t>
      </w:r>
      <w:bookmarkEnd w:id="42"/>
    </w:p>
    <w:tbl>
      <w:tblPr>
        <w:tblStyle w:val="aff2"/>
        <w:tblW w:w="849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7"/>
        <w:gridCol w:w="6019"/>
      </w:tblGrid>
      <w:tr w:rsidR="00870BC8">
        <w:trPr>
          <w:cantSplit/>
          <w:tblHeader/>
          <w:jc w:val="center"/>
        </w:trPr>
        <w:tc>
          <w:tcPr>
            <w:tcW w:w="247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Quantity</w:t>
            </w:r>
          </w:p>
        </w:tc>
        <w:tc>
          <w:tcPr>
            <w:tcW w:w="601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Specification</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Weight encoding</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Integer nᵢ ≤ 4096, above the largest client count 3,676; nᵢ/4096 exactly representable at Q = 2²²</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Accepted parameter range</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sidRPr="0089738B">
              <w:rPr>
                <w:sz w:val="20"/>
                <w:szCs w:val="20"/>
              </w:rPr>
              <w:t>Finite float32 values with absolute unweighted value ≤ 8; local guard rejects larger values</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Coordinate-error allowance</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3(2c/Q + 4εc) / Σ(nᵢ/4096) + 2εM; c = M = 8; ε = 2⁻²³</w:t>
            </w:r>
          </w:p>
        </w:tc>
      </w:tr>
      <w:tr w:rsidR="00870BC8">
        <w:trPr>
          <w:cantSplit/>
          <w:jc w:val="center"/>
        </w:trPr>
        <w:tc>
          <w:tcPr>
            <w:tcW w:w="2477"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Integer range reasoning</w:t>
            </w:r>
          </w:p>
        </w:tc>
        <w:tc>
          <w:tcPr>
            <w:tcW w:w="6019" w:type="dxa"/>
            <w:tcMar>
              <w:top w:w="65" w:type="dxa"/>
              <w:left w:w="65" w:type="dxa"/>
              <w:bottom w:w="65" w:type="dxa"/>
              <w:right w:w="65" w:type="dxa"/>
            </w:tcMar>
            <w:vAlign w:val="center"/>
          </w:tcPr>
          <w:p w:rsidR="00870BC8" w:rsidRPr="0089738B" w:rsidRDefault="00EF028E" w:rsidP="0089738B">
            <w:pPr>
              <w:keepLines/>
              <w:spacing w:after="20" w:line="252" w:lineRule="auto"/>
              <w:rPr>
                <w:sz w:val="20"/>
                <w:szCs w:val="20"/>
              </w:rPr>
            </w:pPr>
            <w:r>
              <w:rPr>
                <w:sz w:val="20"/>
                <w:szCs w:val="20"/>
              </w:rPr>
              <w:t>Three intended shifted quantised contributions sum to at most 3Q &lt; 2³¹; not an exhaustive audit of all intermediate operations</w:t>
            </w:r>
          </w:p>
        </w:tc>
      </w:tr>
    </w:tbl>
    <w:p w:rsidR="00870BC8" w:rsidRDefault="00EF028E" w:rsidP="0089738B">
      <w:pPr>
        <w:pStyle w:val="Heading2"/>
      </w:pPr>
      <w:bookmarkStart w:id="43" w:name="rmhuqemf1xh" w:colFirst="0" w:colLast="0"/>
      <w:bookmarkStart w:id="44" w:name="_Toc243863204"/>
      <w:bookmarkEnd w:id="43"/>
      <w:r>
        <w:t>B.4 Detailed execution controls</w:t>
      </w:r>
      <w:bookmarkEnd w:id="44"/>
    </w:p>
    <w:p w:rsidR="00870BC8" w:rsidRDefault="00EF028E" w:rsidP="0089738B">
      <w:pPr>
        <w:pBdr>
          <w:top w:val="nil"/>
          <w:left w:val="nil"/>
          <w:bottom w:val="nil"/>
          <w:right w:val="nil"/>
          <w:between w:val="nil"/>
        </w:pBdr>
        <w:spacing w:after="140" w:line="240" w:lineRule="auto"/>
        <w:rPr>
          <w:color w:val="000000"/>
        </w:rPr>
      </w:pPr>
      <w:r>
        <w:rPr>
          <w:color w:val="000000"/>
        </w:rPr>
        <w:t>Runs followed the fixed seed/sampling order 11/Reference, 11/Non-IID, 29/Non-IID, 29/Reference, 47/Reference, 47/Non-IID, 71/Non-IID, 71/Reference, 97/Reference and 97/Non-IID. Method-order codes were A/B/C for seeds 11 and 71, B/C/A for 29 and 97, and C/A/B for 47, where A denotes pooled centralised training, B standard FedAvg and C FedAvg with SecAgg+. These rotations were fixed independently of outcomes.</w:t>
      </w:r>
    </w:p>
    <w:p w:rsidR="00870BC8" w:rsidRDefault="00EF028E" w:rsidP="0089738B">
      <w:pPr>
        <w:pBdr>
          <w:top w:val="nil"/>
          <w:left w:val="nil"/>
          <w:bottom w:val="nil"/>
          <w:right w:val="nil"/>
          <w:between w:val="nil"/>
        </w:pBdr>
        <w:spacing w:after="140" w:line="240" w:lineRule="auto"/>
        <w:rPr>
          <w:color w:val="000000"/>
        </w:rPr>
      </w:pPr>
      <w:r>
        <w:rPr>
          <w:color w:val="000000"/>
        </w:rPr>
        <w:t xml:space="preserve">Execution limits were 21,600 seconds per run, 3,600 per pooled epoch and 600 per transport exchange. One whole-block repeat was allowed after a documented transient </w:t>
      </w:r>
      <w:r>
        <w:rPr>
          <w:color w:val="000000"/>
        </w:rPr>
        <w:lastRenderedPageBreak/>
        <w:t>infrastructure fault, retaining both attempts. Other failures required diagnosis; slow or unfavourable completed runs were retained.</w:t>
      </w:r>
    </w:p>
    <w:p w:rsidR="00870BC8" w:rsidRDefault="00EF028E" w:rsidP="0089738B">
      <w:pPr>
        <w:pBdr>
          <w:top w:val="nil"/>
          <w:left w:val="nil"/>
          <w:bottom w:val="nil"/>
          <w:right w:val="nil"/>
          <w:between w:val="nil"/>
        </w:pBdr>
        <w:spacing w:after="140" w:line="240" w:lineRule="auto"/>
        <w:rPr>
          <w:color w:val="000000"/>
        </w:rPr>
      </w:pPr>
      <w:bookmarkStart w:id="45" w:name="7xur4eqpippv" w:colFirst="0" w:colLast="0"/>
      <w:bookmarkEnd w:id="45"/>
      <w:r>
        <w:rPr>
          <w:color w:val="000000"/>
        </w:rPr>
        <w:t>Every seed–condition block used 30 epochs or rounds with fixed inputs, initial states and sampling schedules. The Evidence Companion retains the configurations and execution records.</w:t>
      </w:r>
    </w:p>
    <w:p w:rsidR="00DB7A3A" w:rsidRDefault="001D2B88">
      <w:pPr>
        <w:pStyle w:val="Heading2"/>
      </w:pPr>
      <w:bookmarkStart w:id="46" w:name="_Toc243863205"/>
      <w:r>
        <w:t>B.5 Implementation changes and validation chronology</w:t>
      </w:r>
      <w:bookmarkEnd w:id="46"/>
    </w:p>
    <w:p w:rsidR="00870BC8" w:rsidRDefault="00EF028E">
      <w:pPr>
        <w:pBdr>
          <w:top w:val="nil"/>
          <w:left w:val="nil"/>
          <w:bottom w:val="nil"/>
          <w:right w:val="nil"/>
          <w:between w:val="nil"/>
        </w:pBdr>
        <w:rPr>
          <w:color w:val="000000"/>
        </w:rPr>
      </w:pPr>
      <w:r>
        <w:rPr>
          <w:color w:val="000000"/>
        </w:rPr>
        <w:t>SecAggPlusWorkflow and secaggplus_mod implemented setup, share_keys, collect_masked_vectors and unmask. Each client created three shares of its private-mask seed and pairwise-mask private key, with two required for reconstruction. Every accepted stage nevertheless required all three clients; missing replies stopped execution without ordinary-FedAvg fallback.</w:t>
      </w:r>
    </w:p>
    <w:p w:rsidR="00870BC8" w:rsidRDefault="00EF028E">
      <w:pPr>
        <w:pBdr>
          <w:top w:val="nil"/>
          <w:left w:val="nil"/>
          <w:bottom w:val="nil"/>
          <w:right w:val="nil"/>
          <w:between w:val="nil"/>
        </w:pBdr>
        <w:rPr>
          <w:color w:val="000000"/>
        </w:rPr>
      </w:pPr>
      <w:r>
        <w:rPr>
          <w:color w:val="000000"/>
        </w:rPr>
        <w:t>The local build replaced a NumPy RandomState helper that reduced seeds to 32 bits with a counter-based HMAC-SHA256 helper adapted from the fixed contributor commit for Flower PR #7570 (saurabhvmagdum, 2026). Both federated methods were revalidated. The historical installed package was unavailable; Section 4.11 distinguishes candidate-package and retained-file checks. Attribution, licence and build records remain in the Evidence Companion.</w:t>
      </w:r>
    </w:p>
    <w:p w:rsidR="00870BC8" w:rsidRDefault="00EF028E">
      <w:pPr>
        <w:pBdr>
          <w:top w:val="nil"/>
          <w:left w:val="nil"/>
          <w:bottom w:val="nil"/>
          <w:right w:val="nil"/>
          <w:between w:val="nil"/>
        </w:pBdr>
        <w:rPr>
          <w:color w:val="000000"/>
        </w:rPr>
      </w:pPr>
      <w:r>
        <w:rPr>
          <w:color w:val="000000"/>
        </w:rPr>
        <w:t>Before accepted main runs, full-model engineering checks used complete routine training and validation partitions, excluded test data and used a shorter budget. Corrected runs reused fixed inputs, initial states and draws; incomplete earlier blocks were excluded and retained in the Evidence Companion.</w:t>
      </w:r>
    </w:p>
    <w:p w:rsidR="00870BC8" w:rsidRDefault="00EF028E">
      <w:pPr>
        <w:pBdr>
          <w:top w:val="nil"/>
          <w:left w:val="nil"/>
          <w:bottom w:val="nil"/>
          <w:right w:val="nil"/>
          <w:between w:val="nil"/>
        </w:pBdr>
        <w:rPr>
          <w:color w:val="000000"/>
        </w:rPr>
      </w:pPr>
      <w:r>
        <w:rPr>
          <w:color w:val="000000"/>
        </w:rPr>
        <w:t>After the benchmark and replay, seven local security-check groups exercised installed Flower code and selected project validators using public arrays and single-round computations. Criteria were fixed before these checks, when benchmark results were known. Appendix C.7 records their cases, controls and distinct counters for local-computation calls and accepted aggregates.</w:t>
      </w:r>
    </w:p>
    <w:p w:rsidR="00870BC8" w:rsidRDefault="00EF028E" w:rsidP="0089738B">
      <w:pPr>
        <w:pStyle w:val="Heading1"/>
      </w:pPr>
      <w:bookmarkStart w:id="47" w:name="mdzeaz3st1x2" w:colFirst="0" w:colLast="0"/>
      <w:bookmarkStart w:id="48" w:name="9p16w1k74c0x" w:colFirst="0" w:colLast="0"/>
      <w:bookmarkStart w:id="49" w:name="eyiyp4jmn6lg" w:colFirst="0" w:colLast="0"/>
      <w:bookmarkStart w:id="50" w:name="_Toc243863206"/>
      <w:bookmarkEnd w:id="47"/>
      <w:bookmarkEnd w:id="48"/>
      <w:bookmarkEnd w:id="49"/>
      <w:r>
        <w:lastRenderedPageBreak/>
        <w:t>APPENDIX C: SUPPLEMENTARY DATA, ANALYSES AND VALIDATION</w:t>
      </w:r>
      <w:bookmarkEnd w:id="50"/>
      <w:r>
        <w:fldChar w:fldCharType="begin"/>
      </w:r>
      <w:r>
        <w:instrText xml:space="preserve"> TC "</w:instrText>
      </w:r>
      <w:bookmarkStart w:id="51" w:name="_Toc243863275"/>
      <w:r>
        <w:instrText>APPENDIX C: SUPPLEMENTARY DATA, ANALYSES AND VALIDATION</w:instrText>
      </w:r>
      <w:bookmarkEnd w:id="51"/>
      <w:r>
        <w:instrText xml:space="preserve">" \f A \l 1 </w:instrText>
      </w:r>
      <w:r>
        <w:fldChar w:fldCharType="end"/>
      </w:r>
    </w:p>
    <w:p w:rsidR="00870BC8" w:rsidRDefault="00EF028E" w:rsidP="0089738B">
      <w:pPr>
        <w:pStyle w:val="Heading2"/>
      </w:pPr>
      <w:bookmarkStart w:id="52" w:name="y3en7lz6edgj" w:colFirst="0" w:colLast="0"/>
      <w:bookmarkStart w:id="53" w:name="_Toc243863207"/>
      <w:bookmarkEnd w:id="52"/>
      <w:r>
        <w:t>C.1 Dataset provenance</w:t>
      </w:r>
      <w:bookmarkEnd w:id="53"/>
    </w:p>
    <w:p w:rsidR="00870BC8" w:rsidRDefault="00EF028E" w:rsidP="0089738B">
      <w:pPr>
        <w:pBdr>
          <w:top w:val="nil"/>
          <w:left w:val="nil"/>
          <w:bottom w:val="nil"/>
          <w:right w:val="nil"/>
          <w:between w:val="nil"/>
        </w:pBdr>
        <w:spacing w:after="140" w:line="240" w:lineRule="auto"/>
        <w:rPr>
          <w:color w:val="000000"/>
        </w:rPr>
      </w:pPr>
      <w:r>
        <w:rPr>
          <w:color w:val="000000"/>
        </w:rPr>
        <w:t>The supplied benchmark contains 181,805 events and 17,464 sessions across three simulated clients (version 2.0.0-full-reference_seed_01). Its description as synthetic and its labels are source-assigned: the creator, original generator, complete construction rules and derivation from Mudliar’s Kaggle dataset were not established.</w:t>
      </w:r>
    </w:p>
    <w:p w:rsidR="00870BC8" w:rsidRDefault="00EF028E" w:rsidP="0089738B">
      <w:pPr>
        <w:pBdr>
          <w:top w:val="nil"/>
          <w:left w:val="nil"/>
          <w:bottom w:val="nil"/>
          <w:right w:val="nil"/>
          <w:between w:val="nil"/>
        </w:pBdr>
        <w:spacing w:after="140" w:line="240" w:lineRule="auto"/>
        <w:rPr>
          <w:color w:val="000000"/>
        </w:rPr>
      </w:pPr>
      <w:r>
        <w:rPr>
          <w:color w:val="000000"/>
        </w:rPr>
        <w:t>The supplied configuration matches the local settings but does not authenticate data generation. The raw benchmark and selected weights remain in the controlled-access GitHub archive (Appendix C.8); dataset provenance and redistribution rights remain unresolved.</w:t>
      </w:r>
    </w:p>
    <w:p w:rsidR="00870BC8" w:rsidRDefault="00EF028E" w:rsidP="0089738B">
      <w:pPr>
        <w:pStyle w:val="Heading2"/>
      </w:pPr>
      <w:bookmarkStart w:id="54" w:name="p4traajp3uis" w:colFirst="0" w:colLast="0"/>
      <w:bookmarkStart w:id="55" w:name="_Toc243863208"/>
      <w:bookmarkEnd w:id="54"/>
      <w:r>
        <w:t>C.2 Categorical coverage by labelled class</w:t>
      </w:r>
      <w:bookmarkEnd w:id="55"/>
    </w:p>
    <w:p w:rsidR="00870BC8" w:rsidRDefault="00EF028E" w:rsidP="0089738B">
      <w:pPr>
        <w:pBdr>
          <w:top w:val="nil"/>
          <w:left w:val="nil"/>
          <w:bottom w:val="nil"/>
          <w:right w:val="nil"/>
          <w:between w:val="nil"/>
        </w:pBdr>
        <w:spacing w:after="140" w:line="240" w:lineRule="auto"/>
        <w:rPr>
          <w:color w:val="000000"/>
        </w:rPr>
      </w:pPr>
      <w:r>
        <w:rPr>
          <w:color w:val="000000"/>
        </w:rPr>
        <w:t>Coverage was calculated after evaluation using the fixed schema and original masking rule; that rule was unchanged.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56" w:name="Ref_Table_C_1"/>
      <w:bookmarkStart w:id="57" w:name="_Toc243863261"/>
      <w:r>
        <w:t>Table C.1</w:t>
      </w:r>
      <w:bookmarkEnd w:id="56"/>
      <w:r>
        <w:t>: Post-test categorical-target exclusions by labelled class</w:t>
      </w:r>
      <w:bookmarkEnd w:id="57"/>
    </w:p>
    <w:tbl>
      <w:tblPr>
        <w:tblStyle w:val="aff3"/>
        <w:tblW w:w="850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2381"/>
        <w:gridCol w:w="1020"/>
        <w:gridCol w:w="2551"/>
        <w:gridCol w:w="1417"/>
      </w:tblGrid>
      <w:tr w:rsidR="00870BC8">
        <w:trPr>
          <w:cantSplit/>
          <w:tblHeader/>
          <w:jc w:val="center"/>
        </w:trPr>
        <w:tc>
          <w:tcPr>
            <w:tcW w:w="1134" w:type="dxa"/>
            <w:shd w:val="clear" w:color="auto" w:fill="F2F2F2"/>
            <w:vAlign w:val="center"/>
          </w:tcPr>
          <w:p w:rsidR="00870BC8" w:rsidRDefault="00EF028E" w:rsidP="0089738B">
            <w:pPr>
              <w:keepNext/>
              <w:keepLines/>
              <w:spacing w:after="20" w:line="252" w:lineRule="auto"/>
            </w:pPr>
            <w:r>
              <w:rPr>
                <w:b/>
                <w:bCs/>
                <w:sz w:val="20"/>
                <w:szCs w:val="20"/>
              </w:rPr>
              <w:t>Test</w:t>
            </w:r>
          </w:p>
        </w:tc>
        <w:tc>
          <w:tcPr>
            <w:tcW w:w="2381" w:type="dxa"/>
            <w:shd w:val="clear" w:color="auto" w:fill="F2F2F2"/>
            <w:vAlign w:val="center"/>
          </w:tcPr>
          <w:p w:rsidR="00870BC8" w:rsidRDefault="00EF028E" w:rsidP="0089738B">
            <w:pPr>
              <w:keepNext/>
              <w:keepLines/>
              <w:spacing w:after="20" w:line="252" w:lineRule="auto"/>
            </w:pPr>
            <w:r>
              <w:rPr>
                <w:b/>
                <w:bCs/>
                <w:sz w:val="20"/>
                <w:szCs w:val="20"/>
              </w:rPr>
              <w:t>Class</w:t>
            </w:r>
          </w:p>
        </w:tc>
        <w:tc>
          <w:tcPr>
            <w:tcW w:w="1020" w:type="dxa"/>
            <w:shd w:val="clear" w:color="auto" w:fill="F2F2F2"/>
            <w:vAlign w:val="center"/>
          </w:tcPr>
          <w:p w:rsidR="00870BC8" w:rsidRDefault="00EF028E" w:rsidP="0089738B">
            <w:pPr>
              <w:keepNext/>
              <w:keepLines/>
              <w:spacing w:after="20" w:line="252" w:lineRule="auto"/>
            </w:pPr>
            <w:r>
              <w:rPr>
                <w:b/>
                <w:bCs/>
                <w:sz w:val="20"/>
                <w:szCs w:val="20"/>
              </w:rPr>
              <w:t>Events</w:t>
            </w:r>
          </w:p>
        </w:tc>
        <w:tc>
          <w:tcPr>
            <w:tcW w:w="2551" w:type="dxa"/>
            <w:shd w:val="clear" w:color="auto" w:fill="F2F2F2"/>
            <w:vAlign w:val="center"/>
          </w:tcPr>
          <w:p w:rsidR="00870BC8" w:rsidRDefault="00EF028E" w:rsidP="0089738B">
            <w:pPr>
              <w:keepNext/>
              <w:keepLines/>
              <w:spacing w:after="20" w:line="252" w:lineRule="auto"/>
            </w:pPr>
            <w:r>
              <w:rPr>
                <w:b/>
                <w:bCs/>
                <w:sz w:val="20"/>
                <w:szCs w:val="20"/>
              </w:rPr>
              <w:t>Excluded / targets</w:t>
            </w:r>
          </w:p>
        </w:tc>
        <w:tc>
          <w:tcPr>
            <w:tcW w:w="1417" w:type="dxa"/>
            <w:shd w:val="clear" w:color="auto" w:fill="F2F2F2"/>
            <w:vAlign w:val="center"/>
          </w:tcPr>
          <w:p w:rsidR="00870BC8" w:rsidRDefault="00EF028E" w:rsidP="0089738B">
            <w:pPr>
              <w:keepNext/>
              <w:keepLines/>
              <w:spacing w:after="20" w:line="252" w:lineRule="auto"/>
            </w:pPr>
            <w:r>
              <w:rPr>
                <w:b/>
                <w:bCs/>
                <w:sz w:val="20"/>
                <w:szCs w:val="20"/>
              </w:rPr>
              <w:t>Excluded (%)</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Known</w:t>
            </w:r>
          </w:p>
        </w:tc>
        <w:tc>
          <w:tcPr>
            <w:tcW w:w="2381" w:type="dxa"/>
            <w:vAlign w:val="center"/>
          </w:tcPr>
          <w:p w:rsidR="00870BC8" w:rsidRDefault="00EF028E" w:rsidP="0089738B">
            <w:pPr>
              <w:keepLines/>
              <w:spacing w:after="20" w:line="252" w:lineRule="auto"/>
            </w:pPr>
            <w:r>
              <w:rPr>
                <w:sz w:val="20"/>
                <w:szCs w:val="20"/>
              </w:rPr>
              <w:t>threat</w:t>
            </w:r>
          </w:p>
        </w:tc>
        <w:tc>
          <w:tcPr>
            <w:tcW w:w="1020" w:type="dxa"/>
            <w:vAlign w:val="center"/>
          </w:tcPr>
          <w:p w:rsidR="00870BC8" w:rsidRDefault="00EF028E" w:rsidP="0089738B">
            <w:pPr>
              <w:keepLines/>
              <w:spacing w:after="20" w:line="252" w:lineRule="auto"/>
            </w:pPr>
            <w:r>
              <w:rPr>
                <w:sz w:val="20"/>
                <w:szCs w:val="20"/>
              </w:rPr>
              <w:t>10,408</w:t>
            </w:r>
          </w:p>
        </w:tc>
        <w:tc>
          <w:tcPr>
            <w:tcW w:w="2551" w:type="dxa"/>
            <w:vAlign w:val="center"/>
          </w:tcPr>
          <w:p w:rsidR="00870BC8" w:rsidRDefault="00EF028E" w:rsidP="0089738B">
            <w:pPr>
              <w:keepLines/>
              <w:spacing w:after="20" w:line="252" w:lineRule="auto"/>
            </w:pPr>
            <w:r>
              <w:rPr>
                <w:sz w:val="20"/>
                <w:szCs w:val="20"/>
              </w:rPr>
              <w:t>974 / 135,304</w:t>
            </w:r>
          </w:p>
        </w:tc>
        <w:tc>
          <w:tcPr>
            <w:tcW w:w="1417" w:type="dxa"/>
            <w:vAlign w:val="center"/>
          </w:tcPr>
          <w:p w:rsidR="00870BC8" w:rsidRDefault="00EF028E" w:rsidP="0089738B">
            <w:pPr>
              <w:keepLines/>
              <w:spacing w:after="20" w:line="252" w:lineRule="auto"/>
            </w:pPr>
            <w:r>
              <w:rPr>
                <w:sz w:val="20"/>
                <w:szCs w:val="20"/>
              </w:rPr>
              <w:t>0.720</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Known</w:t>
            </w:r>
          </w:p>
        </w:tc>
        <w:tc>
          <w:tcPr>
            <w:tcW w:w="2381" w:type="dxa"/>
            <w:vAlign w:val="center"/>
          </w:tcPr>
          <w:p w:rsidR="00870BC8" w:rsidRDefault="00EF028E" w:rsidP="0089738B">
            <w:pPr>
              <w:keepLines/>
              <w:spacing w:after="20" w:line="252" w:lineRule="auto"/>
            </w:pPr>
            <w:r>
              <w:rPr>
                <w:sz w:val="20"/>
                <w:szCs w:val="20"/>
              </w:rPr>
              <w:t>unusual legitimate</w:t>
            </w:r>
          </w:p>
        </w:tc>
        <w:tc>
          <w:tcPr>
            <w:tcW w:w="1020" w:type="dxa"/>
            <w:vAlign w:val="center"/>
          </w:tcPr>
          <w:p w:rsidR="00870BC8" w:rsidRDefault="00EF028E" w:rsidP="0089738B">
            <w:pPr>
              <w:keepLines/>
              <w:spacing w:after="20" w:line="252" w:lineRule="auto"/>
            </w:pPr>
            <w:r>
              <w:rPr>
                <w:sz w:val="20"/>
                <w:szCs w:val="20"/>
              </w:rPr>
              <w:t>5,763</w:t>
            </w:r>
          </w:p>
        </w:tc>
        <w:tc>
          <w:tcPr>
            <w:tcW w:w="2551" w:type="dxa"/>
            <w:vAlign w:val="center"/>
          </w:tcPr>
          <w:p w:rsidR="00870BC8" w:rsidRDefault="00EF028E" w:rsidP="0089738B">
            <w:pPr>
              <w:keepLines/>
              <w:spacing w:after="20" w:line="252" w:lineRule="auto"/>
            </w:pPr>
            <w:r>
              <w:rPr>
                <w:sz w:val="20"/>
                <w:szCs w:val="20"/>
              </w:rPr>
              <w:t>3,443 / 74,919</w:t>
            </w:r>
          </w:p>
        </w:tc>
        <w:tc>
          <w:tcPr>
            <w:tcW w:w="1417" w:type="dxa"/>
            <w:vAlign w:val="center"/>
          </w:tcPr>
          <w:p w:rsidR="00870BC8" w:rsidRDefault="00EF028E" w:rsidP="0089738B">
            <w:pPr>
              <w:keepLines/>
              <w:spacing w:after="20" w:line="252" w:lineRule="auto"/>
            </w:pPr>
            <w:r>
              <w:rPr>
                <w:sz w:val="20"/>
                <w:szCs w:val="20"/>
              </w:rPr>
              <w:t>4.596</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Held-out</w:t>
            </w:r>
          </w:p>
        </w:tc>
        <w:tc>
          <w:tcPr>
            <w:tcW w:w="2381" w:type="dxa"/>
            <w:vAlign w:val="center"/>
          </w:tcPr>
          <w:p w:rsidR="00870BC8" w:rsidRDefault="00EF028E" w:rsidP="0089738B">
            <w:pPr>
              <w:keepLines/>
              <w:spacing w:after="20" w:line="252" w:lineRule="auto"/>
            </w:pPr>
            <w:r>
              <w:rPr>
                <w:sz w:val="20"/>
                <w:szCs w:val="20"/>
              </w:rPr>
              <w:t>routine legitimate</w:t>
            </w:r>
          </w:p>
        </w:tc>
        <w:tc>
          <w:tcPr>
            <w:tcW w:w="1020" w:type="dxa"/>
            <w:vAlign w:val="center"/>
          </w:tcPr>
          <w:p w:rsidR="00870BC8" w:rsidRDefault="00EF028E" w:rsidP="0089738B">
            <w:pPr>
              <w:keepLines/>
              <w:spacing w:after="20" w:line="252" w:lineRule="auto"/>
            </w:pPr>
            <w:r>
              <w:rPr>
                <w:sz w:val="20"/>
                <w:szCs w:val="20"/>
              </w:rPr>
              <w:t>19,726</w:t>
            </w:r>
          </w:p>
        </w:tc>
        <w:tc>
          <w:tcPr>
            <w:tcW w:w="2551" w:type="dxa"/>
            <w:vAlign w:val="center"/>
          </w:tcPr>
          <w:p w:rsidR="00870BC8" w:rsidRDefault="00EF028E" w:rsidP="0089738B">
            <w:pPr>
              <w:keepLines/>
              <w:spacing w:after="20" w:line="252" w:lineRule="auto"/>
            </w:pPr>
            <w:r>
              <w:rPr>
                <w:sz w:val="20"/>
                <w:szCs w:val="20"/>
              </w:rPr>
              <w:t>644 / 256,438</w:t>
            </w:r>
          </w:p>
        </w:tc>
        <w:tc>
          <w:tcPr>
            <w:tcW w:w="1417" w:type="dxa"/>
            <w:vAlign w:val="center"/>
          </w:tcPr>
          <w:p w:rsidR="00870BC8" w:rsidRDefault="00EF028E" w:rsidP="0089738B">
            <w:pPr>
              <w:keepLines/>
              <w:spacing w:after="20" w:line="252" w:lineRule="auto"/>
            </w:pPr>
            <w:r>
              <w:rPr>
                <w:sz w:val="20"/>
                <w:szCs w:val="20"/>
              </w:rPr>
              <w:t>0.251</w:t>
            </w:r>
          </w:p>
        </w:tc>
      </w:tr>
      <w:tr w:rsidR="00870BC8">
        <w:trPr>
          <w:cantSplit/>
          <w:jc w:val="center"/>
        </w:trPr>
        <w:tc>
          <w:tcPr>
            <w:tcW w:w="1134" w:type="dxa"/>
            <w:vAlign w:val="center"/>
          </w:tcPr>
          <w:p w:rsidR="00870BC8" w:rsidRDefault="00EF028E" w:rsidP="0089738B">
            <w:pPr>
              <w:keepLines/>
              <w:spacing w:after="20" w:line="252" w:lineRule="auto"/>
            </w:pPr>
            <w:r>
              <w:rPr>
                <w:sz w:val="20"/>
                <w:szCs w:val="20"/>
              </w:rPr>
              <w:t>Held-out</w:t>
            </w:r>
          </w:p>
        </w:tc>
        <w:tc>
          <w:tcPr>
            <w:tcW w:w="2381" w:type="dxa"/>
            <w:vAlign w:val="center"/>
          </w:tcPr>
          <w:p w:rsidR="00870BC8" w:rsidRDefault="00EF028E" w:rsidP="0089738B">
            <w:pPr>
              <w:keepLines/>
              <w:spacing w:after="20" w:line="252" w:lineRule="auto"/>
            </w:pPr>
            <w:r>
              <w:rPr>
                <w:sz w:val="20"/>
                <w:szCs w:val="20"/>
              </w:rPr>
              <w:t>threat</w:t>
            </w:r>
          </w:p>
        </w:tc>
        <w:tc>
          <w:tcPr>
            <w:tcW w:w="1020" w:type="dxa"/>
            <w:vAlign w:val="center"/>
          </w:tcPr>
          <w:p w:rsidR="00870BC8" w:rsidRDefault="00EF028E" w:rsidP="0089738B">
            <w:pPr>
              <w:keepLines/>
              <w:spacing w:after="20" w:line="252" w:lineRule="auto"/>
            </w:pPr>
            <w:r>
              <w:rPr>
                <w:sz w:val="20"/>
                <w:szCs w:val="20"/>
              </w:rPr>
              <w:t>945</w:t>
            </w:r>
          </w:p>
        </w:tc>
        <w:tc>
          <w:tcPr>
            <w:tcW w:w="2551" w:type="dxa"/>
            <w:vAlign w:val="center"/>
          </w:tcPr>
          <w:p w:rsidR="00870BC8" w:rsidRDefault="00EF028E" w:rsidP="0089738B">
            <w:pPr>
              <w:keepLines/>
              <w:spacing w:after="20" w:line="252" w:lineRule="auto"/>
            </w:pPr>
            <w:r>
              <w:rPr>
                <w:sz w:val="20"/>
                <w:szCs w:val="20"/>
              </w:rPr>
              <w:t>113 / 12,285</w:t>
            </w:r>
          </w:p>
        </w:tc>
        <w:tc>
          <w:tcPr>
            <w:tcW w:w="1417" w:type="dxa"/>
            <w:vAlign w:val="center"/>
          </w:tcPr>
          <w:p w:rsidR="00870BC8" w:rsidRDefault="00EF028E" w:rsidP="0089738B">
            <w:pPr>
              <w:keepLines/>
              <w:spacing w:after="20" w:line="252" w:lineRule="auto"/>
            </w:pPr>
            <w:r>
              <w:rPr>
                <w:sz w:val="20"/>
                <w:szCs w:val="20"/>
              </w:rPr>
              <w:t>0.920</w:t>
            </w:r>
          </w:p>
        </w:tc>
      </w:tr>
      <w:tr w:rsidR="00870BC8">
        <w:trPr>
          <w:cantSplit/>
          <w:jc w:val="center"/>
        </w:trPr>
        <w:tc>
          <w:tcPr>
            <w:tcW w:w="1134" w:type="dxa"/>
            <w:vAlign w:val="center"/>
          </w:tcPr>
          <w:p w:rsidR="00870BC8" w:rsidRDefault="00EF028E" w:rsidP="0089738B">
            <w:pPr>
              <w:keepNext/>
              <w:keepLines/>
              <w:spacing w:after="20" w:line="252" w:lineRule="auto"/>
            </w:pPr>
            <w:r>
              <w:rPr>
                <w:sz w:val="20"/>
                <w:szCs w:val="20"/>
              </w:rPr>
              <w:t>Held-out</w:t>
            </w:r>
          </w:p>
        </w:tc>
        <w:tc>
          <w:tcPr>
            <w:tcW w:w="2381" w:type="dxa"/>
            <w:vAlign w:val="center"/>
          </w:tcPr>
          <w:p w:rsidR="00870BC8" w:rsidRDefault="00EF028E" w:rsidP="0089738B">
            <w:pPr>
              <w:keepNext/>
              <w:keepLines/>
              <w:spacing w:after="20" w:line="252" w:lineRule="auto"/>
            </w:pPr>
            <w:r>
              <w:rPr>
                <w:sz w:val="20"/>
                <w:szCs w:val="20"/>
              </w:rPr>
              <w:t>unusual legitimate</w:t>
            </w:r>
          </w:p>
        </w:tc>
        <w:tc>
          <w:tcPr>
            <w:tcW w:w="1020" w:type="dxa"/>
            <w:vAlign w:val="center"/>
          </w:tcPr>
          <w:p w:rsidR="00870BC8" w:rsidRDefault="00EF028E" w:rsidP="0089738B">
            <w:pPr>
              <w:keepNext/>
              <w:keepLines/>
              <w:spacing w:after="20" w:line="252" w:lineRule="auto"/>
            </w:pPr>
            <w:r>
              <w:rPr>
                <w:sz w:val="20"/>
                <w:szCs w:val="20"/>
              </w:rPr>
              <w:t>945</w:t>
            </w:r>
          </w:p>
        </w:tc>
        <w:tc>
          <w:tcPr>
            <w:tcW w:w="2551" w:type="dxa"/>
            <w:vAlign w:val="center"/>
          </w:tcPr>
          <w:p w:rsidR="00870BC8" w:rsidRDefault="00EF028E" w:rsidP="0089738B">
            <w:pPr>
              <w:keepNext/>
              <w:keepLines/>
              <w:spacing w:after="20" w:line="252" w:lineRule="auto"/>
            </w:pPr>
            <w:r>
              <w:rPr>
                <w:sz w:val="20"/>
                <w:szCs w:val="20"/>
              </w:rPr>
              <w:t>972 / 12,285</w:t>
            </w:r>
          </w:p>
        </w:tc>
        <w:tc>
          <w:tcPr>
            <w:tcW w:w="1417" w:type="dxa"/>
            <w:vAlign w:val="center"/>
          </w:tcPr>
          <w:p w:rsidR="00870BC8" w:rsidRDefault="00EF028E" w:rsidP="0089738B">
            <w:pPr>
              <w:keepNext/>
              <w:keepLines/>
              <w:spacing w:after="20" w:line="252" w:lineRule="auto"/>
            </w:pPr>
            <w:r>
              <w:rPr>
                <w:sz w:val="20"/>
                <w:szCs w:val="20"/>
              </w:rPr>
              <w:t>7.912</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58" w:name="gu405owk5v9a" w:colFirst="0" w:colLast="0"/>
      <w:bookmarkEnd w:id="58"/>
      <w:r>
        <w:rPr>
          <w:color w:val="000000"/>
          <w:sz w:val="20"/>
          <w:szCs w:val="20"/>
        </w:rPr>
        <w:t>Note. Each event has thirteen possible categorical targets. Exclusions concern individual targets; no session was removed.</w:t>
      </w:r>
    </w:p>
    <w:p w:rsidR="00870BC8" w:rsidRDefault="00EF028E" w:rsidP="0089738B">
      <w:pPr>
        <w:pStyle w:val="Heading2"/>
      </w:pPr>
      <w:bookmarkStart w:id="59" w:name="deepkjceg9a5" w:colFirst="0" w:colLast="0"/>
      <w:bookmarkStart w:id="60" w:name="_Toc243863209"/>
      <w:bookmarkEnd w:id="59"/>
      <w:r>
        <w:t>C.3 Observed sessions, partitions and scenario annotations</w:t>
      </w:r>
      <w:bookmarkEnd w:id="60"/>
    </w:p>
    <w:p w:rsidR="00870BC8" w:rsidRDefault="00EF028E" w:rsidP="0089738B">
      <w:pPr>
        <w:pBdr>
          <w:top w:val="nil"/>
          <w:left w:val="nil"/>
          <w:bottom w:val="nil"/>
          <w:right w:val="nil"/>
          <w:between w:val="nil"/>
        </w:pBdr>
        <w:spacing w:after="140" w:line="240" w:lineRule="auto"/>
        <w:rPr>
          <w:color w:val="000000"/>
        </w:rPr>
      </w:pPr>
      <w:r>
        <w:rPr>
          <w:color w:val="000000"/>
        </w:rPr>
        <w:t>Post-test checks described the unchanged eleven-table snapshot. Affected-event identifiers belonged to their labelled sessions; original session-construction and authorisation rules were unavailable. These checks did not adjudicate clinical appropriateness or security violations.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61" w:name="Ref_Table_C_2"/>
      <w:bookmarkStart w:id="62" w:name="_Toc243863262"/>
      <w:r>
        <w:t>Table C.2</w:t>
      </w:r>
      <w:bookmarkEnd w:id="61"/>
      <w:r>
        <w:t>: Observed event-time ranges by partition (UTC)</w:t>
      </w:r>
      <w:bookmarkEnd w:id="62"/>
    </w:p>
    <w:tbl>
      <w:tblPr>
        <w:tblStyle w:val="aff4"/>
        <w:tblW w:w="8496" w:type="dxa"/>
        <w:jc w:val="center"/>
        <w:tblInd w:w="0" w:type="dxa"/>
        <w:tblBorders>
          <w:insideH w:val="single" w:sz="4" w:space="0" w:color="auto"/>
        </w:tblBorders>
        <w:tblLayout w:type="fixed"/>
        <w:tblLook w:val="0400" w:firstRow="0" w:lastRow="0" w:firstColumn="0" w:lastColumn="0" w:noHBand="0" w:noVBand="1"/>
      </w:tblPr>
      <w:tblGrid>
        <w:gridCol w:w="1512"/>
        <w:gridCol w:w="3485"/>
        <w:gridCol w:w="3499"/>
      </w:tblGrid>
      <w:tr w:rsidR="00870BC8" w:rsidTr="0089738B">
        <w:trPr>
          <w:cantSplit/>
          <w:tblHeader/>
          <w:jc w:val="center"/>
        </w:trPr>
        <w:tc>
          <w:tcPr>
            <w:tcW w:w="151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w:t>
            </w:r>
          </w:p>
        </w:tc>
        <w:tc>
          <w:tcPr>
            <w:tcW w:w="3485"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Earliest event</w:t>
            </w:r>
          </w:p>
        </w:tc>
        <w:tc>
          <w:tcPr>
            <w:tcW w:w="349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Latest event</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2024-12-31 23:20:11.107927</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2025-02-23 15:31:45.349871</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2025-02-23 16:30:09.070798</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2025-03-13 15:32:54.985926</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test</w:t>
            </w:r>
          </w:p>
        </w:tc>
        <w:tc>
          <w:tcPr>
            <w:tcW w:w="3485"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2025-03-13 16:18:58.818442</w:t>
            </w:r>
          </w:p>
        </w:tc>
        <w:tc>
          <w:tcPr>
            <w:tcW w:w="34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2025-03-20 20:39:21.033173</w:t>
            </w:r>
          </w:p>
        </w:tc>
      </w:tr>
      <w:tr w:rsidR="00870BC8" w:rsidTr="0089738B">
        <w:trPr>
          <w:cantSplit/>
          <w:jc w:val="center"/>
        </w:trPr>
        <w:tc>
          <w:tcPr>
            <w:tcW w:w="151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Held-out test</w:t>
            </w:r>
          </w:p>
        </w:tc>
        <w:tc>
          <w:tcPr>
            <w:tcW w:w="3485"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2025-03-20 21:10:08</w:t>
            </w:r>
          </w:p>
        </w:tc>
        <w:tc>
          <w:tcPr>
            <w:tcW w:w="349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2025-03-31 15:40:33.887742</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63" w:name="87j9ysmfqho6" w:colFirst="0" w:colLast="0"/>
      <w:bookmarkEnd w:id="63"/>
      <w:r>
        <w:rPr>
          <w:color w:val="000000"/>
          <w:sz w:val="20"/>
          <w:szCs w:val="20"/>
        </w:rPr>
        <w:t>Note. These are observed, non-overlapping UTC ranges, not reconstructed split-generation rules.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64" w:name="Ref_Table_C_3"/>
      <w:bookmarkStart w:id="65" w:name="_Toc243863263"/>
      <w:r>
        <w:t>Table C.3</w:t>
      </w:r>
      <w:bookmarkEnd w:id="64"/>
      <w:r>
        <w:t>: Observed shared identifiers across partitions</w:t>
      </w:r>
      <w:bookmarkEnd w:id="65"/>
    </w:p>
    <w:tbl>
      <w:tblPr>
        <w:tblStyle w:val="aff5"/>
        <w:tblW w:w="8496" w:type="dxa"/>
        <w:jc w:val="center"/>
        <w:tblInd w:w="0" w:type="dxa"/>
        <w:tblBorders>
          <w:insideH w:val="single" w:sz="4" w:space="0" w:color="auto"/>
        </w:tblBorders>
        <w:tblLayout w:type="fixed"/>
        <w:tblLook w:val="0400" w:firstRow="0" w:lastRow="0" w:firstColumn="0" w:lastColumn="0" w:noHBand="0" w:noVBand="1"/>
      </w:tblPr>
      <w:tblGrid>
        <w:gridCol w:w="3427"/>
        <w:gridCol w:w="1512"/>
        <w:gridCol w:w="1584"/>
        <w:gridCol w:w="1973"/>
      </w:tblGrid>
      <w:tr w:rsidR="00870BC8" w:rsidTr="0089738B">
        <w:trPr>
          <w:cantSplit/>
          <w:tblHeader/>
          <w:jc w:val="center"/>
        </w:trPr>
        <w:tc>
          <w:tcPr>
            <w:tcW w:w="342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 pair</w:t>
            </w:r>
          </w:p>
        </w:tc>
        <w:tc>
          <w:tcPr>
            <w:tcW w:w="151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Session IDs</w:t>
            </w:r>
          </w:p>
        </w:tc>
        <w:tc>
          <w:tcPr>
            <w:tcW w:w="1584"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Actor IDs</w:t>
            </w:r>
          </w:p>
        </w:tc>
        <w:tc>
          <w:tcPr>
            <w:tcW w:w="1973"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Patient IDs</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validation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300</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3244</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known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236</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2739</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held_out</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299</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2137</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lastRenderedPageBreak/>
              <w:t>validation / known</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236</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1711</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 / held_out</w:t>
            </w:r>
          </w:p>
        </w:tc>
        <w:tc>
          <w:tcPr>
            <w:tcW w:w="151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299</w:t>
            </w:r>
          </w:p>
        </w:tc>
        <w:tc>
          <w:tcPr>
            <w:tcW w:w="197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1367</w:t>
            </w:r>
          </w:p>
        </w:tc>
      </w:tr>
      <w:tr w:rsidR="00870BC8" w:rsidTr="0089738B">
        <w:trPr>
          <w:cantSplit/>
          <w:jc w:val="center"/>
        </w:trPr>
        <w:tc>
          <w:tcPr>
            <w:tcW w:w="342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 / held_out</w:t>
            </w:r>
          </w:p>
        </w:tc>
        <w:tc>
          <w:tcPr>
            <w:tcW w:w="151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w:t>
            </w:r>
          </w:p>
        </w:tc>
        <w:tc>
          <w:tcPr>
            <w:tcW w:w="1584"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235</w:t>
            </w:r>
          </w:p>
        </w:tc>
        <w:tc>
          <w:tcPr>
            <w:tcW w:w="1973"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1136</w:t>
            </w:r>
          </w:p>
        </w:tc>
      </w:tr>
    </w:tbl>
    <w:p w:rsidR="00870BC8" w:rsidRDefault="00EF028E" w:rsidP="0089738B">
      <w:pPr>
        <w:pStyle w:val="ArtifactNote"/>
        <w:keepLines/>
        <w:pBdr>
          <w:top w:val="nil"/>
          <w:left w:val="nil"/>
          <w:bottom w:val="nil"/>
          <w:right w:val="nil"/>
          <w:between w:val="nil"/>
        </w:pBdr>
        <w:spacing w:after="140"/>
        <w:rPr>
          <w:color w:val="000000"/>
          <w:szCs w:val="20"/>
        </w:rPr>
      </w:pPr>
      <w:r>
        <w:rPr>
          <w:color w:val="000000"/>
          <w:szCs w:val="20"/>
        </w:rPr>
        <w:t>Note. Counts are distinct pooled shared identifiers. Client-specific intersections are indexed in C.9. Unique device identifiers were unavailable.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66" w:name="Ref_Table_C_4"/>
      <w:bookmarkStart w:id="67" w:name="_Toc243863264"/>
      <w:r>
        <w:t>Table C.4</w:t>
      </w:r>
      <w:bookmarkEnd w:id="66"/>
      <w:r>
        <w:t>: Session lengths and within-session durations by class</w:t>
      </w:r>
      <w:bookmarkEnd w:id="67"/>
    </w:p>
    <w:tbl>
      <w:tblPr>
        <w:tblStyle w:val="aff6"/>
        <w:tblW w:w="8496" w:type="dxa"/>
        <w:jc w:val="center"/>
        <w:tblInd w:w="0" w:type="dxa"/>
        <w:tblBorders>
          <w:insideH w:val="single" w:sz="4" w:space="0" w:color="auto"/>
        </w:tblBorders>
        <w:tblLayout w:type="fixed"/>
        <w:tblLook w:val="0400" w:firstRow="0" w:lastRow="0" w:firstColumn="0" w:lastColumn="0" w:noHBand="0" w:noVBand="1"/>
      </w:tblPr>
      <w:tblGrid>
        <w:gridCol w:w="2232"/>
        <w:gridCol w:w="691"/>
        <w:gridCol w:w="1166"/>
        <w:gridCol w:w="1037"/>
        <w:gridCol w:w="1253"/>
        <w:gridCol w:w="2117"/>
      </w:tblGrid>
      <w:tr w:rsidR="00870BC8" w:rsidTr="0089738B">
        <w:trPr>
          <w:cantSplit/>
          <w:tblHeader/>
          <w:jc w:val="center"/>
        </w:trPr>
        <w:tc>
          <w:tcPr>
            <w:tcW w:w="2232"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Partition / class</w:t>
            </w:r>
          </w:p>
        </w:tc>
        <w:tc>
          <w:tcPr>
            <w:tcW w:w="691"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N</w:t>
            </w:r>
          </w:p>
        </w:tc>
        <w:tc>
          <w:tcPr>
            <w:tcW w:w="1166"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Events min–max</w:t>
            </w:r>
          </w:p>
        </w:tc>
        <w:tc>
          <w:tcPr>
            <w:tcW w:w="103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Median events</w:t>
            </w:r>
          </w:p>
        </w:tc>
        <w:tc>
          <w:tcPr>
            <w:tcW w:w="1253"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Median seconds</w:t>
            </w:r>
          </w:p>
        </w:tc>
        <w:tc>
          <w:tcPr>
            <w:tcW w:w="211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Seconds min–max</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training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10833</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6–24</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329.07</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64.30–1382.37</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validation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3622</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6–23</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330.30</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55.91–1414.62</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 Threat</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378</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6–81</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20</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351.19</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71.79–2167.67</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 / Unusual legitimate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267</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6–75</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14</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455.92</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95.41–13490.28</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held_out / Routine</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6–23</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8</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334.45</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59.96–1398.73</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held_out / Threat</w:t>
            </w:r>
          </w:p>
        </w:tc>
        <w:tc>
          <w:tcPr>
            <w:tcW w:w="69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c>
          <w:tcPr>
            <w:tcW w:w="116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5–5</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5</w:t>
            </w:r>
          </w:p>
        </w:tc>
        <w:tc>
          <w:tcPr>
            <w:tcW w:w="1253"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161.35</w:t>
            </w:r>
          </w:p>
        </w:tc>
        <w:tc>
          <w:tcPr>
            <w:tcW w:w="211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48.33–543.70</w:t>
            </w:r>
          </w:p>
        </w:tc>
      </w:tr>
      <w:tr w:rsidR="00870BC8" w:rsidTr="0089738B">
        <w:trPr>
          <w:cantSplit/>
          <w:jc w:val="center"/>
        </w:trPr>
        <w:tc>
          <w:tcPr>
            <w:tcW w:w="223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held_out / Unusual legitimate</w:t>
            </w:r>
          </w:p>
        </w:tc>
        <w:tc>
          <w:tcPr>
            <w:tcW w:w="691"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189</w:t>
            </w:r>
          </w:p>
        </w:tc>
        <w:tc>
          <w:tcPr>
            <w:tcW w:w="1166"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5–5</w:t>
            </w:r>
          </w:p>
        </w:tc>
        <w:tc>
          <w:tcPr>
            <w:tcW w:w="103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5</w:t>
            </w:r>
          </w:p>
        </w:tc>
        <w:tc>
          <w:tcPr>
            <w:tcW w:w="1253"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166.91</w:t>
            </w:r>
          </w:p>
        </w:tc>
        <w:tc>
          <w:tcPr>
            <w:tcW w:w="211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66.37–530.21</w:t>
            </w:r>
          </w:p>
        </w:tc>
      </w:tr>
    </w:tbl>
    <w:p w:rsidR="00870BC8" w:rsidRDefault="00EF028E" w:rsidP="0089738B">
      <w:pPr>
        <w:pStyle w:val="ArtifactNote"/>
        <w:keepLines/>
        <w:pBdr>
          <w:top w:val="nil"/>
          <w:left w:val="nil"/>
          <w:bottom w:val="nil"/>
          <w:right w:val="nil"/>
          <w:between w:val="nil"/>
        </w:pBdr>
        <w:spacing w:after="140"/>
        <w:rPr>
          <w:color w:val="000000"/>
          <w:szCs w:val="20"/>
        </w:rPr>
      </w:pPr>
      <w:r>
        <w:rPr>
          <w:color w:val="000000"/>
          <w:szCs w:val="20"/>
        </w:rPr>
        <w:t>Note. Both nonroutine held-out classes contain five events per session. Duration is first-to-last event time, not campaign duration. Length-only rankings are reported in Section 4.12; no length-matched experiment was performed.</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68" w:name="Ref_Table_C_5"/>
      <w:bookmarkStart w:id="69" w:name="_Toc243863265"/>
      <w:r>
        <w:t>Table C.5</w:t>
      </w:r>
      <w:bookmarkEnd w:id="68"/>
      <w:r>
        <w:t>: Source-labelled scenarios and session counts</w:t>
      </w:r>
      <w:bookmarkEnd w:id="69"/>
    </w:p>
    <w:tbl>
      <w:tblPr>
        <w:tblStyle w:val="aff7"/>
        <w:tblW w:w="849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320"/>
        <w:gridCol w:w="1037"/>
        <w:gridCol w:w="1440"/>
        <w:gridCol w:w="1699"/>
      </w:tblGrid>
      <w:tr w:rsidR="00870BC8" w:rsidTr="0089738B">
        <w:trPr>
          <w:cantSplit/>
          <w:tblHeader/>
          <w:jc w:val="center"/>
        </w:trPr>
        <w:tc>
          <w:tcPr>
            <w:tcW w:w="4320"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Scenario name</w:t>
            </w:r>
          </w:p>
        </w:tc>
        <w:tc>
          <w:tcPr>
            <w:tcW w:w="1037"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Test</w:t>
            </w:r>
          </w:p>
        </w:tc>
        <w:tc>
          <w:tcPr>
            <w:tcW w:w="1440"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Label</w:t>
            </w:r>
          </w:p>
        </w:tc>
        <w:tc>
          <w:tcPr>
            <w:tcW w:w="1699" w:type="dxa"/>
            <w:shd w:val="clear" w:color="auto" w:fill="F2F2F2"/>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Sessions</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low and slow misuse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longitudinal follow up</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189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bulk extraction</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compromised account patient hopping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95</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patient snooping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94</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role action misuse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Threat</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94</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approved high volume audit or reporting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approved troubleshooting</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emergency break glass</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37</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emergency surge</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float nurse reassignment</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39</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long authorised session</w:t>
            </w:r>
          </w:p>
        </w:tc>
        <w:tc>
          <w:tcPr>
            <w:tcW w:w="103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38</w:t>
            </w:r>
          </w:p>
        </w:tc>
      </w:tr>
      <w:tr w:rsidR="00870BC8" w:rsidTr="0089738B">
        <w:trPr>
          <w:cantSplit/>
          <w:jc w:val="center"/>
        </w:trPr>
        <w:tc>
          <w:tcPr>
            <w:tcW w:w="4320"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on call cross department coverage</w:t>
            </w:r>
          </w:p>
        </w:tc>
        <w:tc>
          <w:tcPr>
            <w:tcW w:w="103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w:t>
            </w:r>
          </w:p>
        </w:tc>
        <w:tc>
          <w:tcPr>
            <w:tcW w:w="1440"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Legitimate</w:t>
            </w:r>
          </w:p>
        </w:tc>
        <w:tc>
          <w:tcPr>
            <w:tcW w:w="169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38</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70" w:name="3wga9pigmzit" w:colFirst="0" w:colLast="0"/>
      <w:bookmarkEnd w:id="70"/>
      <w:r>
        <w:rPr>
          <w:color w:val="000000"/>
          <w:sz w:val="20"/>
          <w:szCs w:val="20"/>
        </w:rPr>
        <w:t>Note. These are source-assigned scenario names and labels; generation, injection and authorisation criteria were unavailable. Supplied affected-event annotations were not independently adjudicated.</w:t>
      </w:r>
    </w:p>
    <w:p w:rsidR="00870BC8" w:rsidRDefault="00EF028E" w:rsidP="0089738B">
      <w:pPr>
        <w:pStyle w:val="Heading2"/>
      </w:pPr>
      <w:bookmarkStart w:id="71" w:name="v6dbbd4at34i" w:colFirst="0" w:colLast="0"/>
      <w:bookmarkStart w:id="72" w:name="_Toc243863210"/>
      <w:bookmarkEnd w:id="71"/>
      <w:r>
        <w:lastRenderedPageBreak/>
        <w:t>C.4 Supplementary statistical and subgroup results</w:t>
      </w:r>
      <w:bookmarkEnd w:id="72"/>
    </w:p>
    <w:p w:rsidR="00870BC8" w:rsidRDefault="00EF028E" w:rsidP="0089738B">
      <w:pPr>
        <w:pBdr>
          <w:top w:val="nil"/>
          <w:left w:val="nil"/>
          <w:bottom w:val="nil"/>
          <w:right w:val="nil"/>
          <w:between w:val="nil"/>
        </w:pBdr>
        <w:spacing w:after="140" w:line="240" w:lineRule="auto"/>
        <w:rPr>
          <w:color w:val="000000"/>
        </w:rPr>
      </w:pPr>
      <w:bookmarkStart w:id="73" w:name="wnbcrjcrqflt" w:colFirst="0" w:colLast="0"/>
      <w:bookmarkEnd w:id="73"/>
      <w:r>
        <w:rPr>
          <w:color w:val="000000"/>
        </w:rPr>
        <w:t>Table C.6 reports worst-client AP contrasts across five paired seeds; Table C.7 decomposes held-out AUROC. At q = 0.99, a threat-only group’s alert rate is recall and a legitimate-only group’s is FPR. AP and AUROC are undefined for one-class groups.</w:t>
      </w:r>
    </w:p>
    <w:p w:rsidR="00770F1B" w:rsidRDefault="000718AA">
      <w:pPr>
        <w:pBdr>
          <w:top w:val="nil"/>
          <w:left w:val="nil"/>
          <w:bottom w:val="nil"/>
          <w:right w:val="nil"/>
          <w:between w:val="nil"/>
        </w:pBdr>
        <w:spacing w:after="140" w:line="240" w:lineRule="auto"/>
        <w:rPr>
          <w:color w:val="000000"/>
        </w:rPr>
      </w:pPr>
      <w:r>
        <w:rPr>
          <w:color w:val="000000"/>
        </w:rPr>
        <w:t xml:space="preserve">The linked </w:t>
      </w:r>
      <w:hyperlink w:anchor="Artifact_Index">
        <w:r>
          <w:rPr>
            <w:color w:val="000000"/>
          </w:rPr>
          <w:t>result traceability evidence</w:t>
        </w:r>
      </w:hyperlink>
      <w:r>
        <w:rPr>
          <w:color w:val="000000"/>
        </w:rPr>
        <w:t xml:space="preserve"> retains each seed’s client AP, tied minima and scenario confusion counts, with derivation code. Recalculation from saved scores and thresholds reproduced Tables 4.8 and 4.10 without retraining or threshold refitting.</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74" w:name="Ref_Table_C_6"/>
      <w:bookmarkStart w:id="75" w:name="_Toc243863266"/>
      <w:r>
        <w:t>Table C.6</w:t>
      </w:r>
      <w:bookmarkEnd w:id="74"/>
      <w:r>
        <w:t>: Exploratory paired worst-client AP contrasts</w:t>
      </w:r>
      <w:bookmarkEnd w:id="75"/>
    </w:p>
    <w:tbl>
      <w:tblPr>
        <w:tblStyle w:val="aff8"/>
        <w:tblW w:w="8496" w:type="dxa"/>
        <w:jc w:val="center"/>
        <w:tblInd w:w="0" w:type="dxa"/>
        <w:tblLayout w:type="fixed"/>
        <w:tblLook w:val="0400" w:firstRow="0" w:lastRow="0" w:firstColumn="0" w:lastColumn="0" w:noHBand="0" w:noVBand="1"/>
      </w:tblPr>
      <w:tblGrid>
        <w:gridCol w:w="1152"/>
        <w:gridCol w:w="1469"/>
        <w:gridCol w:w="1051"/>
        <w:gridCol w:w="1728"/>
        <w:gridCol w:w="3096"/>
      </w:tblGrid>
      <w:tr w:rsidR="00870BC8">
        <w:trPr>
          <w:cantSplit/>
          <w:tblHeader/>
          <w:jc w:val="center"/>
        </w:trPr>
        <w:tc>
          <w:tcPr>
            <w:tcW w:w="1152"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Test</w:t>
            </w:r>
          </w:p>
        </w:tc>
        <w:tc>
          <w:tcPr>
            <w:tcW w:w="1469"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Condition</w:t>
            </w:r>
          </w:p>
        </w:tc>
        <w:tc>
          <w:tcPr>
            <w:tcW w:w="1051"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Contrast</w:t>
            </w:r>
          </w:p>
        </w:tc>
        <w:tc>
          <w:tcPr>
            <w:tcW w:w="172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Mean difference</w:t>
            </w:r>
          </w:p>
        </w:tc>
        <w:tc>
          <w:tcPr>
            <w:tcW w:w="3096"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95% interval</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-0.0656</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[-0.2191, +0.0880]</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+0.0037</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[-0.0024, +0.0099]</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+0.0160</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[-0.0478, +0.0798]</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Held-out</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-0.0006</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[-0.0038, +0.0026]</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-0.0717</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[-0.1373, -0.0061]</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+0.0012</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[-0.0015, +0.0039]</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Lines/>
              <w:spacing w:after="20" w:line="252" w:lineRule="auto"/>
            </w:pPr>
            <w:r>
              <w:rPr>
                <w:rFonts w:ascii="Gungsuh" w:eastAsia="Gungsuh" w:hAnsi="Gungsuh" w:cs="Gungsuh"/>
                <w:sz w:val="20"/>
                <w:szCs w:val="20"/>
              </w:rPr>
              <w:t>B−A</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-0.0559</w:t>
            </w:r>
          </w:p>
        </w:tc>
        <w:tc>
          <w:tcPr>
            <w:tcW w:w="3096"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[-0.0841, -0.0277]</w:t>
            </w:r>
          </w:p>
        </w:tc>
      </w:tr>
      <w:tr w:rsidR="00870BC8">
        <w:trPr>
          <w:cantSplit/>
          <w:jc w:val="center"/>
        </w:trPr>
        <w:tc>
          <w:tcPr>
            <w:tcW w:w="1152"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Known</w:t>
            </w:r>
          </w:p>
        </w:tc>
        <w:tc>
          <w:tcPr>
            <w:tcW w:w="1469"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Non-IID</w:t>
            </w:r>
          </w:p>
        </w:tc>
        <w:tc>
          <w:tcPr>
            <w:tcW w:w="1051" w:type="dxa"/>
            <w:tcMar>
              <w:top w:w="65" w:type="dxa"/>
              <w:left w:w="65" w:type="dxa"/>
              <w:bottom w:w="65" w:type="dxa"/>
              <w:right w:w="65" w:type="dxa"/>
            </w:tcMar>
            <w:vAlign w:val="center"/>
          </w:tcPr>
          <w:p w:rsidR="00870BC8" w:rsidRDefault="00EF028E" w:rsidP="0089738B">
            <w:pPr>
              <w:keepNext/>
              <w:keepLines/>
              <w:spacing w:after="20" w:line="252" w:lineRule="auto"/>
            </w:pPr>
            <w:r>
              <w:rPr>
                <w:rFonts w:ascii="Gungsuh" w:eastAsia="Gungsuh" w:hAnsi="Gungsuh" w:cs="Gungsuh"/>
                <w:sz w:val="20"/>
                <w:szCs w:val="20"/>
              </w:rPr>
              <w:t>C−B</w:t>
            </w:r>
          </w:p>
        </w:tc>
        <w:tc>
          <w:tcPr>
            <w:tcW w:w="17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+0.0002</w:t>
            </w:r>
          </w:p>
        </w:tc>
        <w:tc>
          <w:tcPr>
            <w:tcW w:w="3096"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[-0.0009, +0.0014]</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76" w:name="z4184tyqm73c" w:colFirst="0" w:colLast="0"/>
      <w:bookmarkEnd w:id="76"/>
      <w:r>
        <w:rPr>
          <w:color w:val="000000"/>
          <w:sz w:val="20"/>
          <w:szCs w:val="20"/>
        </w:rPr>
        <w:t>Note. Exploratory intervals use five paired differences and Student’s t with four degrees of freedom on the fixed snapshot. An interval crossing zero does not establish equivalence.</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77" w:name="Ref_Table_C_7"/>
      <w:bookmarkStart w:id="78" w:name="_Toc243863267"/>
      <w:r>
        <w:t>Table C.7</w:t>
      </w:r>
      <w:bookmarkEnd w:id="77"/>
      <w:r>
        <w:t>: C held-out AUROC decomposition by score scale</w:t>
      </w:r>
      <w:bookmarkEnd w:id="78"/>
    </w:p>
    <w:tbl>
      <w:tblPr>
        <w:tblStyle w:val="aff9"/>
        <w:tblW w:w="8496" w:type="dxa"/>
        <w:jc w:val="center"/>
        <w:tblInd w:w="0" w:type="dxa"/>
        <w:tblLayout w:type="fixed"/>
        <w:tblLook w:val="0400" w:firstRow="0" w:lastRow="0" w:firstColumn="0" w:lastColumn="0" w:noHBand="0" w:noVBand="1"/>
      </w:tblPr>
      <w:tblGrid>
        <w:gridCol w:w="1368"/>
        <w:gridCol w:w="1224"/>
        <w:gridCol w:w="1728"/>
        <w:gridCol w:w="1411"/>
        <w:gridCol w:w="1397"/>
        <w:gridCol w:w="1368"/>
      </w:tblGrid>
      <w:tr w:rsidR="00870BC8">
        <w:trPr>
          <w:cantSplit/>
          <w:tblHeader/>
          <w:jc w:val="center"/>
        </w:trPr>
        <w:tc>
          <w:tcPr>
            <w:tcW w:w="136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Condition</w:t>
            </w:r>
          </w:p>
        </w:tc>
        <w:tc>
          <w:tcPr>
            <w:tcW w:w="1224"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Score scale</w:t>
            </w:r>
          </w:p>
        </w:tc>
        <w:tc>
          <w:tcPr>
            <w:tcW w:w="172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Legitimate-session counts: routine / unusual</w:t>
            </w:r>
          </w:p>
        </w:tc>
        <w:tc>
          <w:tcPr>
            <w:tcW w:w="1411"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Threat vs routine</w:t>
            </w:r>
          </w:p>
        </w:tc>
        <w:tc>
          <w:tcPr>
            <w:tcW w:w="1397"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Threat vs unusual legitimate</w:t>
            </w:r>
          </w:p>
        </w:tc>
        <w:tc>
          <w:tcPr>
            <w:tcW w:w="1368" w:type="dxa"/>
            <w:shd w:val="clear" w:color="auto" w:fill="DDE7EF"/>
            <w:tcMar>
              <w:top w:w="65" w:type="dxa"/>
              <w:left w:w="65" w:type="dxa"/>
              <w:bottom w:w="65" w:type="dxa"/>
              <w:right w:w="65" w:type="dxa"/>
            </w:tcMar>
            <w:vAlign w:val="center"/>
          </w:tcPr>
          <w:p w:rsidR="00870BC8" w:rsidRDefault="00EF028E" w:rsidP="0089738B">
            <w:pPr>
              <w:keepNext/>
              <w:keepLines/>
              <w:spacing w:after="20" w:line="252" w:lineRule="auto"/>
            </w:pPr>
            <w:r>
              <w:rPr>
                <w:b/>
                <w:bCs/>
                <w:sz w:val="20"/>
                <w:szCs w:val="20"/>
              </w:rPr>
              <w:t>Recombined overall AUROC</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Calibrated</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0.9925</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0.4307</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0.9437</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Reference</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Raw</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0.9924</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0.4268</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0.9433</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Non-IID</w:t>
            </w:r>
          </w:p>
        </w:tc>
        <w:tc>
          <w:tcPr>
            <w:tcW w:w="1224"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Calibrated</w:t>
            </w:r>
          </w:p>
        </w:tc>
        <w:tc>
          <w:tcPr>
            <w:tcW w:w="172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0.9899</w:t>
            </w:r>
          </w:p>
        </w:tc>
        <w:tc>
          <w:tcPr>
            <w:tcW w:w="1397"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0.4805</w:t>
            </w:r>
          </w:p>
        </w:tc>
        <w:tc>
          <w:tcPr>
            <w:tcW w:w="1368" w:type="dxa"/>
            <w:tcMar>
              <w:top w:w="65" w:type="dxa"/>
              <w:left w:w="65" w:type="dxa"/>
              <w:bottom w:w="65" w:type="dxa"/>
              <w:right w:w="65" w:type="dxa"/>
            </w:tcMar>
            <w:vAlign w:val="center"/>
          </w:tcPr>
          <w:p w:rsidR="00870BC8" w:rsidRDefault="00EF028E" w:rsidP="0089738B">
            <w:pPr>
              <w:keepLines/>
              <w:spacing w:after="20" w:line="252" w:lineRule="auto"/>
            </w:pPr>
            <w:r>
              <w:rPr>
                <w:sz w:val="20"/>
                <w:szCs w:val="20"/>
              </w:rPr>
              <w:t>0.9457</w:t>
            </w:r>
          </w:p>
        </w:tc>
      </w:tr>
      <w:tr w:rsidR="00870BC8">
        <w:trPr>
          <w:cantSplit/>
          <w:jc w:val="center"/>
        </w:trPr>
        <w:tc>
          <w:tcPr>
            <w:tcW w:w="136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Non-IID</w:t>
            </w:r>
          </w:p>
        </w:tc>
        <w:tc>
          <w:tcPr>
            <w:tcW w:w="1224"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Raw</w:t>
            </w:r>
          </w:p>
        </w:tc>
        <w:tc>
          <w:tcPr>
            <w:tcW w:w="172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1,986 / 189</w:t>
            </w:r>
          </w:p>
        </w:tc>
        <w:tc>
          <w:tcPr>
            <w:tcW w:w="1411"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0.9900</w:t>
            </w:r>
          </w:p>
        </w:tc>
        <w:tc>
          <w:tcPr>
            <w:tcW w:w="1397"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0.4788</w:t>
            </w:r>
          </w:p>
        </w:tc>
        <w:tc>
          <w:tcPr>
            <w:tcW w:w="1368" w:type="dxa"/>
            <w:tcMar>
              <w:top w:w="65" w:type="dxa"/>
              <w:left w:w="65" w:type="dxa"/>
              <w:bottom w:w="65" w:type="dxa"/>
              <w:right w:w="65" w:type="dxa"/>
            </w:tcMar>
            <w:vAlign w:val="center"/>
          </w:tcPr>
          <w:p w:rsidR="00870BC8" w:rsidRDefault="00EF028E" w:rsidP="0089738B">
            <w:pPr>
              <w:keepNext/>
              <w:keepLines/>
              <w:spacing w:after="20" w:line="252" w:lineRule="auto"/>
            </w:pPr>
            <w:r>
              <w:rPr>
                <w:sz w:val="20"/>
                <w:szCs w:val="20"/>
              </w:rPr>
              <w:t>0.9456</w:t>
            </w:r>
          </w:p>
        </w:tc>
      </w:tr>
    </w:tbl>
    <w:p w:rsidR="00870BC8" w:rsidRDefault="00EF028E" w:rsidP="0089738B">
      <w:pPr>
        <w:keepLines/>
        <w:pBdr>
          <w:top w:val="nil"/>
          <w:left w:val="nil"/>
          <w:bottom w:val="nil"/>
          <w:right w:val="nil"/>
          <w:between w:val="nil"/>
        </w:pBdr>
        <w:spacing w:after="140" w:line="240" w:lineRule="auto"/>
        <w:rPr>
          <w:color w:val="000000"/>
          <w:sz w:val="20"/>
          <w:szCs w:val="20"/>
        </w:rPr>
      </w:pPr>
      <w:bookmarkStart w:id="79" w:name="ypc6tn1dh0fy" w:colFirst="0" w:colLast="0"/>
      <w:bookmarkEnd w:id="79"/>
      <w:r>
        <w:rPr>
          <w:color w:val="000000"/>
          <w:sz w:val="20"/>
          <w:szCs w:val="20"/>
        </w:rPr>
        <w:t>Note. Values are five-seed means from saved scores. Within each seed, overall AUROC = (1,986 × routine AUROC + 189 × unusual AUROC)/2,175. Weights are the legitimate groups’ sizes. Recombined and original means agree before rounding.</w:t>
      </w:r>
    </w:p>
    <w:p w:rsidR="00870BC8" w:rsidRDefault="00EF028E" w:rsidP="0089738B">
      <w:pPr>
        <w:pStyle w:val="Heading2"/>
      </w:pPr>
      <w:bookmarkStart w:id="80" w:name="cath5is6k86u" w:colFirst="0" w:colLast="0"/>
      <w:bookmarkStart w:id="81" w:name="_Toc243863211"/>
      <w:bookmarkEnd w:id="80"/>
      <w:r>
        <w:t>C.5 Retrospective context and calibration</w:t>
      </w:r>
      <w:bookmarkEnd w:id="81"/>
    </w:p>
    <w:p w:rsidR="00870BC8" w:rsidRDefault="00EF028E" w:rsidP="0089738B">
      <w:pPr>
        <w:pBdr>
          <w:top w:val="nil"/>
          <w:left w:val="nil"/>
          <w:bottom w:val="nil"/>
          <w:right w:val="nil"/>
          <w:between w:val="nil"/>
        </w:pBdr>
        <w:spacing w:after="140" w:line="240" w:lineRule="auto"/>
        <w:rPr>
          <w:color w:val="000000"/>
        </w:rPr>
      </w:pPr>
      <w:bookmarkStart w:id="82" w:name="jhncltcywm9u" w:colFirst="0" w:colLast="0"/>
      <w:bookmarkEnd w:id="82"/>
      <w:r>
        <w:rPr>
          <w:color w:val="000000"/>
        </w:rPr>
        <w:t>Event recording lag had median 14.98 seconds and range approximately 0.000045–30.00 seconds. Availability times for assignment, shift, relationship and outcome fields were unknown, so the supported task is retrospective scoring of complete sessions.</w:t>
      </w:r>
    </w:p>
    <w:p w:rsidR="00870BC8" w:rsidRDefault="00EF028E" w:rsidP="0089738B">
      <w:pPr>
        <w:pBdr>
          <w:top w:val="nil"/>
          <w:left w:val="nil"/>
          <w:bottom w:val="nil"/>
          <w:right w:val="nil"/>
          <w:between w:val="nil"/>
        </w:pBdr>
        <w:spacing w:after="140" w:line="240" w:lineRule="auto"/>
        <w:rPr>
          <w:color w:val="000000"/>
        </w:rPr>
      </w:pPr>
      <w:r>
        <w:rPr>
          <w:color w:val="000000"/>
        </w:rPr>
        <w:t>Saved validation scores and model-linked records reproduced 90 client calibrations and 270 thresholds at q = 0.98, 0.99 and 0.995, including validation exceedance rates. The same routine-validation sessions supported model selection and calibration. C.6 reports the separate training and inference replay.</w:t>
      </w:r>
    </w:p>
    <w:p w:rsidR="00870BC8" w:rsidRDefault="00EF028E" w:rsidP="0089738B">
      <w:pPr>
        <w:pStyle w:val="Heading2"/>
      </w:pPr>
      <w:bookmarkStart w:id="83" w:name="_Toc243863212"/>
      <w:r>
        <w:t>C.6 Computational reproduction</w:t>
      </w:r>
      <w:bookmarkEnd w:id="83"/>
    </w:p>
    <w:p w:rsidR="00870BC8" w:rsidRDefault="00EF028E" w:rsidP="0089738B">
      <w:pPr>
        <w:pBdr>
          <w:top w:val="nil"/>
          <w:left w:val="nil"/>
          <w:bottom w:val="nil"/>
          <w:right w:val="nil"/>
          <w:between w:val="nil"/>
        </w:pBdr>
        <w:spacing w:after="140" w:line="240" w:lineRule="auto"/>
        <w:rPr>
          <w:color w:val="000000"/>
        </w:rPr>
      </w:pPr>
      <w:r>
        <w:rPr>
          <w:color w:val="000000"/>
        </w:rPr>
        <w:t xml:space="preserve">A fresh Python 3.12.3 environment on the existing host used locked dependencies and rebuilt Flower 1.22.0+mai.prg7570.1. From the supplied snapshot, it regenerated </w:t>
      </w:r>
      <w:r>
        <w:rPr>
          <w:color w:val="000000"/>
        </w:rPr>
        <w:lastRenderedPageBreak/>
        <w:t>preprocessing, five initial model states and ten sampling schedules. Thirty training runs started without historical learned checkpoints; selected models and validation calibrations were fixed before 60 test evaluations.</w:t>
      </w:r>
    </w:p>
    <w:p w:rsidR="00870BC8" w:rsidRDefault="00EF028E" w:rsidP="0089738B">
      <w:pPr>
        <w:pBdr>
          <w:top w:val="nil"/>
          <w:left w:val="nil"/>
          <w:bottom w:val="nil"/>
          <w:right w:val="nil"/>
          <w:between w:val="nil"/>
        </w:pBdr>
        <w:spacing w:after="140" w:line="240" w:lineRule="auto"/>
        <w:rPr>
          <w:color w:val="000000"/>
        </w:rPr>
      </w:pPr>
      <w:r>
        <w:rPr>
          <w:color w:val="000000"/>
        </w:rPr>
        <w:t>Initial and selected tensor states, selected rounds, validation scores, calibrations, test scores, metrics and paired-seed summaries matched exactly. All 90,270 score rows, covering repeated evaluation of 2,364 held-out and 645 known-test sessions, and alert decisions at all three quantiles agreed. This was same-host computational reproduction.</w:t>
      </w:r>
    </w:p>
    <w:p w:rsidR="00870BC8" w:rsidRDefault="00EF028E" w:rsidP="0089738B">
      <w:pPr>
        <w:pBdr>
          <w:top w:val="nil"/>
          <w:left w:val="nil"/>
          <w:bottom w:val="nil"/>
          <w:right w:val="nil"/>
          <w:between w:val="nil"/>
        </w:pBdr>
        <w:spacing w:after="140" w:line="240" w:lineRule="auto"/>
        <w:rPr>
          <w:color w:val="000000"/>
        </w:rPr>
      </w:pPr>
      <w:r>
        <w:rPr>
          <w:color w:val="000000"/>
        </w:rPr>
        <w:t>Fresh preprocessing and its immediate replay matched byte for byte across 42 files; all 30 encoded arrays also matched the historical reference. One scaler diagnostic changed from 117745.299590386 to 117745.29959038601, one float64 ULP. All other scaler values, including applied means and scales, matched; the cause was undetermined.</w:t>
      </w:r>
    </w:p>
    <w:p w:rsidR="00870BC8" w:rsidRDefault="00EF028E" w:rsidP="0089738B">
      <w:pPr>
        <w:pBdr>
          <w:top w:val="nil"/>
          <w:left w:val="nil"/>
          <w:bottom w:val="nil"/>
          <w:right w:val="nil"/>
          <w:between w:val="nil"/>
        </w:pBdr>
        <w:spacing w:after="140" w:line="240" w:lineRule="auto"/>
        <w:rPr>
          <w:color w:val="000000"/>
        </w:rPr>
      </w:pPr>
      <w:r>
        <w:rPr>
          <w:color w:val="000000"/>
        </w:rPr>
        <w:t>To satisfy the runtime’s historical scaler-file hash, a separate compatibility view paired the fresh arrays with the historical scaler JSON. Fresh preprocessing outputs were preserved. Predictive results matched exactly despite this metadata-byte exception.</w:t>
      </w:r>
    </w:p>
    <w:p w:rsidR="00870BC8" w:rsidRDefault="00EF028E" w:rsidP="0089738B">
      <w:pPr>
        <w:pStyle w:val="Heading2"/>
      </w:pPr>
      <w:bookmarkStart w:id="84" w:name="_Toc243863213"/>
      <w:r>
        <w:t>C.7 Bounded security validation</w:t>
      </w:r>
      <w:bookmarkEnd w:id="84"/>
    </w:p>
    <w:p w:rsidR="00870BC8" w:rsidRDefault="00EF028E" w:rsidP="0089738B">
      <w:pPr>
        <w:pBdr>
          <w:top w:val="nil"/>
          <w:left w:val="nil"/>
          <w:bottom w:val="nil"/>
          <w:right w:val="nil"/>
          <w:between w:val="nil"/>
        </w:pBdr>
        <w:spacing w:after="140" w:line="240" w:lineRule="auto"/>
        <w:rPr>
          <w:color w:val="000000"/>
        </w:rPr>
      </w:pPr>
      <w:r>
        <w:rPr>
          <w:color w:val="000000"/>
        </w:rPr>
        <w:t>The original seven-group suite recorded 101 cases: 99 PASS, 1 FAIL and 1 OBSERVED_BOUNDARY, with none unrun. PASS denotes the case-specific criterion, including permitted SETUP restart. The twenty freshness sessions constitute one grouped diagnostic case.</w:t>
      </w:r>
    </w:p>
    <w:p w:rsidR="00870BC8" w:rsidRDefault="00EF028E" w:rsidP="0089738B">
      <w:pPr>
        <w:pBdr>
          <w:top w:val="nil"/>
          <w:left w:val="nil"/>
          <w:bottom w:val="nil"/>
          <w:right w:val="nil"/>
          <w:between w:val="nil"/>
        </w:pBdr>
        <w:spacing w:after="140" w:line="240" w:lineRule="auto"/>
        <w:rPr>
          <w:color w:val="000000"/>
        </w:rPr>
      </w:pPr>
      <w:r>
        <w:rPr>
          <w:color w:val="000000"/>
        </w:rPr>
        <w:t>Checks used public inputs with Python 3.12.3, Ubuntu 24.04 and Flower 1.22.0+mai.prg7570.1. Protocol secrets were compared only in memory; neither values nor digests were exported.</w:t>
      </w:r>
    </w:p>
    <w:p w:rsidR="00870BC8" w:rsidRDefault="00EF028E" w:rsidP="0089738B">
      <w:pPr>
        <w:pBdr>
          <w:top w:val="nil"/>
          <w:left w:val="nil"/>
          <w:bottom w:val="nil"/>
          <w:right w:val="nil"/>
          <w:between w:val="nil"/>
        </w:pBdr>
        <w:spacing w:after="140" w:line="240" w:lineRule="auto"/>
        <w:rPr>
          <w:color w:val="000000"/>
        </w:rPr>
      </w:pPr>
      <w:r>
        <w:rPr>
          <w:color w:val="000000"/>
        </w:rPr>
        <w:t>The harness exercised installed Flower code, an adapted copy of client request validation and a simplified strategy. Three reference cases used the upstream workflow/client path; direct project-method checks preceded data access. The plain-FedAvg control was a native reply.</w:t>
      </w:r>
    </w:p>
    <w:p w:rsidR="00770F1B" w:rsidRDefault="000718AA">
      <w:pPr>
        <w:pBdr>
          <w:top w:val="nil"/>
          <w:left w:val="nil"/>
          <w:bottom w:val="nil"/>
          <w:right w:val="nil"/>
          <w:between w:val="nil"/>
        </w:pBdr>
        <w:spacing w:after="140" w:line="240" w:lineRule="auto"/>
        <w:rPr>
          <w:color w:val="000000"/>
        </w:rPr>
      </w:pPr>
      <w:r>
        <w:rPr>
          <w:color w:val="000000"/>
        </w:rPr>
        <w:t>SV-07 exercised project counters, logging and error-report functions with substituted public measurement settings. Selected JSON outputs were scanned for public markers; the full application and network deployment were outside this test.</w:t>
      </w:r>
    </w:p>
    <w:p w:rsidR="00870BC8" w:rsidRDefault="00EF028E" w:rsidP="0089738B">
      <w:pPr>
        <w:pBdr>
          <w:top w:val="nil"/>
          <w:left w:val="nil"/>
          <w:bottom w:val="nil"/>
          <w:right w:val="nil"/>
          <w:between w:val="nil"/>
        </w:pBdr>
        <w:spacing w:after="140" w:line="240" w:lineRule="auto"/>
        <w:rPr>
          <w:color w:val="000000"/>
        </w:rPr>
      </w:pPr>
      <w:r>
        <w:rPr>
          <w:color w:val="000000"/>
        </w:rPr>
        <w:t>Across twenty three-client sessions, SV-06 found 120 distinct public key representations and 120 private ones, plus 60 distinct contexts in each mask-seed, pairwise-key, share-encryption-key and masked-reply category. Comparisons used exact byte equality or ordered tuples of serialised masked-parameter bytes; setup, share and collect ran without unmasking. Matching peers derived matching keys. Finite non-reuse did not establish entropy or unpredictability.</w:t>
      </w:r>
    </w:p>
    <w:p w:rsidR="00870BC8" w:rsidRDefault="00EF028E">
      <w:pPr>
        <w:pBdr>
          <w:top w:val="nil"/>
          <w:left w:val="nil"/>
          <w:bottom w:val="nil"/>
          <w:right w:val="nil"/>
          <w:between w:val="nil"/>
        </w:pBdr>
        <w:rPr>
          <w:color w:val="000000"/>
        </w:rPr>
      </w:pPr>
      <w:r>
        <w:rPr>
          <w:color w:val="000000"/>
        </w:rPr>
        <w:t>All five valid numerical controls completed four stages and accepted one aggregate. Grid-aligned inputs produced exact integer sums under equal and unequal weights. Between-grid values gave maximum error 2.05046 × 10⁻⁵, below 1.23978 × 10⁻⁴. The boundary control used weights [4096, 4096, 4096] and magnitudes up to 8; error was 7.94729 × 10⁻⁸, below 9.53674 × 10⁻⁶.</w:t>
      </w:r>
    </w:p>
    <w:p w:rsidR="00870BC8" w:rsidRDefault="00EF028E" w:rsidP="0089738B">
      <w:pPr>
        <w:pBdr>
          <w:top w:val="nil"/>
          <w:left w:val="nil"/>
          <w:bottom w:val="nil"/>
          <w:right w:val="nil"/>
          <w:between w:val="nil"/>
        </w:pBdr>
        <w:spacing w:after="140" w:line="240" w:lineRule="auto"/>
        <w:rPr>
          <w:color w:val="000000"/>
        </w:rPr>
      </w:pPr>
      <w:r>
        <w:rPr>
          <w:color w:val="000000"/>
        </w:rPr>
        <w:t xml:space="preserve">In SV-05, removing one source ID while retaining the ciphertext list caused KeyError during UNMASK after three toy fit callbacks. No aggregate was accepted or state </w:t>
      </w:r>
      <w:r>
        <w:rPr>
          <w:color w:val="000000"/>
        </w:rPr>
        <w:lastRenderedPageBreak/>
        <w:t>advanced, but the required ValueError or RuntimeError rejection did not occur. Baseline replay reproduced the failure. A separate project guard then checked list lengths and the complete unique external-peer set before fitting. The same input raised ValueError during COLLECT before the affected client’s fit, without UNMASK or an accepted aggregate. The cryptographic wheel and benchmark source were unchanged; the original FAIL remains recorded. No evidence placed this malformed request in main training.</w:t>
      </w:r>
    </w:p>
    <w:p w:rsidR="00870BC8" w:rsidRDefault="00EF028E">
      <w:pPr>
        <w:pBdr>
          <w:top w:val="nil"/>
          <w:left w:val="nil"/>
          <w:bottom w:val="nil"/>
          <w:right w:val="nil"/>
          <w:between w:val="nil"/>
        </w:pBdr>
        <w:rPr>
          <w:color w:val="000000"/>
        </w:rPr>
      </w:pPr>
      <w:r>
        <w:rPr>
          <w:color w:val="000000"/>
        </w:rPr>
        <w:t>The correction passed 59 targeted SV-02–SV-05 cases, including all seven SV-05 fixtures, plus 12 guard cases (three valid and nine malformed). Valid controls included reversed aligned pairs and nonsequential node IDs; each completed four stages and one aggregate within its bound. Malformed inputs were rejected before the affected client’s computation, without an accepted aggregate. The unequal-list retest caused zero fits; other request orders could permit earlier client work. Separately, 75 unit/regression tests passed (15 routing-guard, 60 measurement-contract). The full 101-case suite was not rerun.</w:t>
      </w:r>
    </w:p>
    <w:p w:rsidR="00870BC8" w:rsidRDefault="00EF028E" w:rsidP="0089738B">
      <w:pPr>
        <w:pBdr>
          <w:top w:val="nil"/>
          <w:left w:val="nil"/>
          <w:bottom w:val="nil"/>
          <w:right w:val="nil"/>
          <w:between w:val="nil"/>
        </w:pBdr>
        <w:spacing w:after="140" w:line="240" w:lineRule="auto"/>
        <w:rPr>
          <w:color w:val="000000"/>
        </w:rPr>
      </w:pPr>
      <w:r>
        <w:rPr>
          <w:color w:val="000000"/>
        </w:rPr>
        <w:t>Nine selected SV-07 JSON outputs contained none of nine payload markers; the unsafe positive control contained all nine. Two other artifacts retained a public marker in permitted request-ID, exception-class or traceback fields, yielding OBSERVED_BOUNDARY. Such metadata requires review before external release. Test markers were public synthetic values, not EHR data or protocol secrets.</w:t>
      </w:r>
    </w:p>
    <w:p w:rsidR="00DB7A3A" w:rsidRDefault="001D2B88">
      <w:pPr>
        <w:pStyle w:val="Heading3"/>
      </w:pPr>
      <w:bookmarkStart w:id="85" w:name="_Toc243863214"/>
      <w:r>
        <w:t>C.7.1 Interpretation of selected implementation checks</w:t>
      </w:r>
      <w:bookmarkEnd w:id="85"/>
    </w:p>
    <w:p w:rsidR="00870BC8" w:rsidRDefault="00EF028E">
      <w:pPr>
        <w:spacing w:before="40" w:after="60" w:line="240" w:lineRule="auto"/>
      </w:pPr>
      <w:r>
        <w:rPr>
          <w:sz w:val="21"/>
          <w:szCs w:val="21"/>
        </w:rPr>
        <w:t>All 424 installed Flower files matched the candidate wheel. Public vectors and checks over 15 moduli matched their references. Distinct public seeds constructed to collide under the previous helper’s 32-bit seed reduction produced identical legacy outputs but distinct candidate-helper outputs.</w:t>
      </w:r>
    </w:p>
    <w:p w:rsidR="00870BC8" w:rsidRDefault="00EF028E">
      <w:pPr>
        <w:spacing w:before="40" w:after="60" w:line="240" w:lineRule="auto"/>
      </w:pPr>
      <w:r>
        <w:rPr>
          <w:sz w:val="21"/>
          <w:szCs w:val="21"/>
        </w:rPr>
        <w:t>Selected missing, duplicate, foreign and error replies were refused without an accepted aggregate. Accepting SETUP after SHARE_KEYS tested restart permission only. It did not execute the separate reset that clears stored shares and encryption keys, reloads settings and regenerates key pairs.</w:t>
      </w:r>
    </w:p>
    <w:p w:rsidR="00870BC8" w:rsidRDefault="00EF028E" w:rsidP="0089738B">
      <w:pPr>
        <w:pStyle w:val="TableCaption"/>
        <w:pBdr>
          <w:top w:val="nil"/>
          <w:left w:val="nil"/>
          <w:bottom w:val="nil"/>
          <w:right w:val="nil"/>
          <w:between w:val="nil"/>
        </w:pBdr>
        <w:spacing w:before="140" w:after="120" w:line="240" w:lineRule="auto"/>
        <w:rPr>
          <w:b/>
          <w:bCs/>
          <w:color w:val="000000"/>
        </w:rPr>
      </w:pPr>
      <w:bookmarkStart w:id="86" w:name="Ref_Table_C_8"/>
      <w:bookmarkStart w:id="87" w:name="_Toc243863268"/>
      <w:r>
        <w:t>Table C.8</w:t>
      </w:r>
      <w:bookmarkEnd w:id="86"/>
      <w:r>
        <w:t>: Unexecuted security scope and reasons</w:t>
      </w:r>
      <w:bookmarkEnd w:id="87"/>
    </w:p>
    <w:tbl>
      <w:tblPr>
        <w:tblStyle w:val="affa"/>
        <w:tblW w:w="8400" w:type="dxa"/>
        <w:tblInd w:w="-9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991"/>
        <w:gridCol w:w="5409"/>
      </w:tblGrid>
      <w:tr w:rsidR="00870BC8">
        <w:trPr>
          <w:cantSplit/>
          <w:tblHeader/>
        </w:trPr>
        <w:tc>
          <w:tcPr>
            <w:tcW w:w="3024" w:type="dxa"/>
            <w:shd w:val="clear" w:color="auto" w:fill="D9E2F3"/>
          </w:tcPr>
          <w:p w:rsidR="00870BC8" w:rsidRDefault="00EF028E" w:rsidP="0089738B">
            <w:pPr>
              <w:keepNext/>
              <w:spacing w:before="40" w:after="60" w:line="240" w:lineRule="auto"/>
            </w:pPr>
            <w:r>
              <w:rPr>
                <w:b/>
                <w:bCs/>
                <w:sz w:val="21"/>
                <w:szCs w:val="21"/>
              </w:rPr>
              <w:t>Untested scope</w:t>
            </w:r>
          </w:p>
        </w:tc>
        <w:tc>
          <w:tcPr>
            <w:tcW w:w="5472" w:type="dxa"/>
            <w:shd w:val="clear" w:color="auto" w:fill="D9E2F3"/>
          </w:tcPr>
          <w:p w:rsidR="00870BC8" w:rsidRDefault="00EF028E" w:rsidP="0089738B">
            <w:pPr>
              <w:keepNext/>
              <w:spacing w:before="40" w:after="60" w:line="240" w:lineRule="auto"/>
            </w:pPr>
            <w:r>
              <w:rPr>
                <w:b/>
                <w:bCs/>
                <w:sz w:val="21"/>
                <w:szCs w:val="21"/>
              </w:rPr>
              <w:t>Boundary</w:t>
            </w:r>
          </w:p>
        </w:tc>
      </w:tr>
      <w:tr w:rsidR="00870BC8">
        <w:trPr>
          <w:cantSplit/>
        </w:trPr>
        <w:tc>
          <w:tcPr>
            <w:tcW w:w="3024" w:type="dxa"/>
          </w:tcPr>
          <w:p w:rsidR="00870BC8" w:rsidRDefault="00EF028E" w:rsidP="0089738B">
            <w:pPr>
              <w:spacing w:before="40" w:after="60" w:line="240" w:lineRule="auto"/>
            </w:pPr>
            <w:r>
              <w:rPr>
                <w:sz w:val="21"/>
                <w:szCs w:val="21"/>
              </w:rPr>
              <w:t>Network, authentication and hostile participants</w:t>
            </w:r>
          </w:p>
        </w:tc>
        <w:tc>
          <w:tcPr>
            <w:tcW w:w="5472" w:type="dxa"/>
          </w:tcPr>
          <w:p w:rsidR="00870BC8" w:rsidRDefault="00EF028E" w:rsidP="0089738B">
            <w:pPr>
              <w:spacing w:before="40" w:after="60" w:line="240" w:lineRule="auto"/>
            </w:pPr>
            <w:r>
              <w:rPr>
                <w:sz w:val="21"/>
                <w:szCs w:val="21"/>
              </w:rPr>
              <w:t>Trusted-host, honest noncolluding participants were assumed. With three clients, the aggregate plus two known contributions exposes the third.</w:t>
            </w:r>
          </w:p>
        </w:tc>
      </w:tr>
      <w:tr w:rsidR="00870BC8">
        <w:trPr>
          <w:cantSplit/>
        </w:trPr>
        <w:tc>
          <w:tcPr>
            <w:tcW w:w="3024" w:type="dxa"/>
          </w:tcPr>
          <w:p w:rsidR="00870BC8" w:rsidRDefault="00EF028E" w:rsidP="0089738B">
            <w:pPr>
              <w:spacing w:before="40" w:after="60" w:line="240" w:lineRule="auto"/>
            </w:pPr>
            <w:r>
              <w:rPr>
                <w:sz w:val="21"/>
                <w:szCs w:val="21"/>
              </w:rPr>
              <w:t>Privacy attacks and formal cryptographic assurance</w:t>
            </w:r>
          </w:p>
        </w:tc>
        <w:tc>
          <w:tcPr>
            <w:tcW w:w="5472" w:type="dxa"/>
          </w:tcPr>
          <w:p w:rsidR="00870BC8" w:rsidRDefault="00EF028E" w:rsidP="0089738B">
            <w:pPr>
              <w:spacing w:before="40" w:after="60" w:line="240" w:lineRule="auto"/>
            </w:pPr>
            <w:r>
              <w:rPr>
                <w:sz w:val="21"/>
                <w:szCs w:val="21"/>
              </w:rPr>
              <w:t>No inversion, membership-inference, DP-budget, formal security or entropy evaluation was performed.</w:t>
            </w:r>
          </w:p>
        </w:tc>
      </w:tr>
      <w:tr w:rsidR="00870BC8">
        <w:trPr>
          <w:cantSplit/>
        </w:trPr>
        <w:tc>
          <w:tcPr>
            <w:tcW w:w="3024" w:type="dxa"/>
          </w:tcPr>
          <w:p w:rsidR="00870BC8" w:rsidRDefault="00EF028E" w:rsidP="0089738B">
            <w:pPr>
              <w:spacing w:before="40" w:after="60" w:line="240" w:lineRule="auto"/>
            </w:pPr>
            <w:r>
              <w:rPr>
                <w:sz w:val="21"/>
                <w:szCs w:val="21"/>
              </w:rPr>
              <w:t>Poisoning and general replay defence</w:t>
            </w:r>
          </w:p>
        </w:tc>
        <w:tc>
          <w:tcPr>
            <w:tcW w:w="5472" w:type="dxa"/>
          </w:tcPr>
          <w:p w:rsidR="00870BC8" w:rsidRDefault="00EF028E" w:rsidP="0089738B">
            <w:pPr>
              <w:spacing w:before="40" w:after="60" w:line="240" w:lineRule="auto"/>
            </w:pPr>
            <w:r>
              <w:rPr>
                <w:sz w:val="21"/>
                <w:szCs w:val="21"/>
              </w:rPr>
              <w:t>Selected routing and stage checks, including permitted restart, do not cover arbitrary adversaries.</w:t>
            </w:r>
          </w:p>
        </w:tc>
      </w:tr>
      <w:tr w:rsidR="00870BC8">
        <w:trPr>
          <w:cantSplit/>
        </w:trPr>
        <w:tc>
          <w:tcPr>
            <w:tcW w:w="3024" w:type="dxa"/>
          </w:tcPr>
          <w:p w:rsidR="00870BC8" w:rsidRDefault="00EF028E" w:rsidP="0089738B">
            <w:pPr>
              <w:spacing w:before="40" w:after="60" w:line="240" w:lineRule="auto"/>
            </w:pPr>
            <w:r>
              <w:rPr>
                <w:sz w:val="21"/>
                <w:szCs w:val="21"/>
              </w:rPr>
              <w:t>Independent deployment and complete export scanning</w:t>
            </w:r>
          </w:p>
        </w:tc>
        <w:tc>
          <w:tcPr>
            <w:tcW w:w="5472" w:type="dxa"/>
          </w:tcPr>
          <w:p w:rsidR="00870BC8" w:rsidRDefault="00EF028E" w:rsidP="0089738B">
            <w:pPr>
              <w:spacing w:before="40" w:after="60" w:line="240" w:lineRule="auto"/>
            </w:pPr>
            <w:r>
              <w:rPr>
                <w:sz w:val="21"/>
                <w:szCs w:val="21"/>
              </w:rPr>
              <w:t>Same-host replay is separate (C.6). SV-07 scanned selected JSONs for literal markers, not all logs, stores or encodings.</w:t>
            </w:r>
          </w:p>
        </w:tc>
      </w:tr>
    </w:tbl>
    <w:p w:rsidR="00870BC8" w:rsidRDefault="00870BC8" w:rsidP="0089738B">
      <w:pPr>
        <w:widowControl w:val="0"/>
        <w:pBdr>
          <w:top w:val="nil"/>
          <w:left w:val="nil"/>
          <w:bottom w:val="nil"/>
          <w:right w:val="nil"/>
          <w:between w:val="nil"/>
        </w:pBdr>
        <w:spacing w:line="276" w:lineRule="auto"/>
      </w:pPr>
    </w:p>
    <w:p w:rsidR="00B74030" w:rsidRDefault="00406097">
      <w:pPr>
        <w:pStyle w:val="Heading2"/>
      </w:pPr>
      <w:bookmarkStart w:id="88" w:name="Artifact_Index"/>
      <w:bookmarkStart w:id="89" w:name="_Toc243863215"/>
      <w:r>
        <w:lastRenderedPageBreak/>
        <w:t>C.8 Availability of code, data and artifacts</w:t>
      </w:r>
      <w:bookmarkEnd w:id="88"/>
      <w:bookmarkEnd w:id="89"/>
    </w:p>
    <w:p w:rsidR="00B74030" w:rsidRDefault="00406097">
      <w:pPr>
        <w:spacing w:line="240" w:lineRule="auto"/>
      </w:pPr>
      <w:r>
        <w:t>The public guide indexes shareable code, aggregate results and documentation. The private archive retains raw benchmark records, selected models, fitted assets, saved scores and replay inputs; it requires GitHub read access. Both archives use release study-artifacts-v1.30.</w:t>
      </w:r>
    </w:p>
    <w:p w:rsidR="00B74030" w:rsidRDefault="00406097">
      <w:pPr>
        <w:pStyle w:val="TableCaption"/>
      </w:pPr>
      <w:bookmarkStart w:id="90" w:name="Ref_Table_C_9"/>
      <w:bookmarkStart w:id="91" w:name="_Toc243863269"/>
      <w:r>
        <w:t>Table C.9</w:t>
      </w:r>
      <w:bookmarkEnd w:id="90"/>
      <w:r>
        <w:t>: Online artifacts and access boundaries</w:t>
      </w:r>
      <w:bookmarkEnd w:id="91"/>
    </w:p>
    <w:tbl>
      <w:tblPr>
        <w:tblW w:w="0" w:type="auto"/>
        <w:jc w:val="center"/>
        <w:tblLayout w:type="fixed"/>
        <w:tblLook w:val="04A0" w:firstRow="1" w:lastRow="0" w:firstColumn="1" w:lastColumn="0" w:noHBand="0" w:noVBand="1"/>
      </w:tblPr>
      <w:tblGrid>
        <w:gridCol w:w="1944"/>
        <w:gridCol w:w="3240"/>
        <w:gridCol w:w="3240"/>
      </w:tblGrid>
      <w:tr w:rsidR="00B74030">
        <w:trPr>
          <w:cantSplit/>
          <w:tblHeader/>
          <w:jc w:val="center"/>
        </w:trPr>
        <w:tc>
          <w:tcPr>
            <w:tcW w:w="1944" w:type="dxa"/>
          </w:tcPr>
          <w:p w:rsidR="00B74030" w:rsidRDefault="00406097">
            <w:pPr>
              <w:keepNext/>
              <w:spacing w:before="40" w:after="80" w:line="240" w:lineRule="auto"/>
            </w:pPr>
            <w:r>
              <w:rPr>
                <w:b/>
                <w:sz w:val="18"/>
              </w:rPr>
              <w:t>Artifact</w:t>
            </w:r>
          </w:p>
        </w:tc>
        <w:tc>
          <w:tcPr>
            <w:tcW w:w="3240" w:type="dxa"/>
          </w:tcPr>
          <w:p w:rsidR="00B74030" w:rsidRDefault="00406097">
            <w:pPr>
              <w:keepNext/>
              <w:spacing w:before="40" w:after="80" w:line="240" w:lineRule="auto"/>
            </w:pPr>
            <w:r>
              <w:rPr>
                <w:b/>
                <w:sz w:val="18"/>
              </w:rPr>
              <w:t>Online contents</w:t>
            </w:r>
          </w:p>
        </w:tc>
        <w:tc>
          <w:tcPr>
            <w:tcW w:w="3240" w:type="dxa"/>
          </w:tcPr>
          <w:p w:rsidR="00B74030" w:rsidRDefault="00406097">
            <w:pPr>
              <w:keepNext/>
              <w:spacing w:before="40" w:after="80" w:line="240" w:lineRule="auto"/>
            </w:pPr>
            <w:r>
              <w:rPr>
                <w:b/>
                <w:sz w:val="18"/>
              </w:rPr>
              <w:t>Location</w:t>
            </w:r>
          </w:p>
        </w:tc>
      </w:tr>
      <w:tr w:rsidR="00B74030">
        <w:trPr>
          <w:cantSplit/>
          <w:jc w:val="center"/>
        </w:trPr>
        <w:tc>
          <w:tcPr>
            <w:tcW w:w="1944" w:type="dxa"/>
          </w:tcPr>
          <w:p w:rsidR="00B74030" w:rsidRDefault="009C065B">
            <w:pPr>
              <w:spacing w:before="40" w:after="80" w:line="240" w:lineRule="auto"/>
            </w:pPr>
            <w:hyperlink r:id="rId6">
              <w:r w:rsidR="00D65E72">
                <w:rPr>
                  <w:color w:val="0563C1"/>
                </w:rPr>
                <w:t>Online availability guide</w:t>
              </w:r>
            </w:hyperlink>
          </w:p>
        </w:tc>
        <w:tc>
          <w:tcPr>
            <w:tcW w:w="3240" w:type="dxa"/>
          </w:tcPr>
          <w:p w:rsidR="00B74030" w:rsidRDefault="00406097">
            <w:pPr>
              <w:spacing w:before="40" w:after="80" w:line="240" w:lineRule="auto"/>
            </w:pPr>
            <w:r>
              <w:rPr>
                <w:sz w:val="18"/>
              </w:rPr>
              <w:t>Shareable code, aggregate results and documentation</w:t>
            </w:r>
          </w:p>
        </w:tc>
        <w:tc>
          <w:tcPr>
            <w:tcW w:w="3240" w:type="dxa"/>
          </w:tcPr>
          <w:p w:rsidR="00B74030" w:rsidRDefault="00406097">
            <w:pPr>
              <w:spacing w:before="40" w:after="80" w:line="240" w:lineRule="auto"/>
            </w:pPr>
            <w:r>
              <w:rPr>
                <w:sz w:val="18"/>
              </w:rPr>
              <w:t>Public GitHub</w:t>
            </w:r>
          </w:p>
        </w:tc>
      </w:tr>
      <w:tr w:rsidR="00B74030">
        <w:trPr>
          <w:cantSplit/>
          <w:jc w:val="center"/>
        </w:trPr>
        <w:tc>
          <w:tcPr>
            <w:tcW w:w="1944" w:type="dxa"/>
          </w:tcPr>
          <w:p w:rsidR="00B74030" w:rsidRDefault="009C065B">
            <w:pPr>
              <w:spacing w:before="40" w:after="80" w:line="240" w:lineRule="auto"/>
            </w:pPr>
            <w:hyperlink r:id="rId7">
              <w:r w:rsidR="00406097">
                <w:rPr>
                  <w:color w:val="0563C1"/>
                </w:rPr>
                <w:t>Evidence Companion</w:t>
              </w:r>
            </w:hyperlink>
          </w:p>
        </w:tc>
        <w:tc>
          <w:tcPr>
            <w:tcW w:w="3240" w:type="dxa"/>
          </w:tcPr>
          <w:p w:rsidR="00B74030" w:rsidRDefault="00406097">
            <w:pPr>
              <w:spacing w:before="40" w:after="80" w:line="240" w:lineRule="auto"/>
            </w:pPr>
            <w:r>
              <w:rPr>
                <w:sz w:val="18"/>
              </w:rPr>
              <w:t>Current index and historical evidence</w:t>
            </w:r>
          </w:p>
        </w:tc>
        <w:tc>
          <w:tcPr>
            <w:tcW w:w="3240" w:type="dxa"/>
          </w:tcPr>
          <w:p w:rsidR="00B74030" w:rsidRDefault="00406097">
            <w:pPr>
              <w:spacing w:before="40" w:after="80" w:line="240" w:lineRule="auto"/>
            </w:pPr>
            <w:r>
              <w:rPr>
                <w:sz w:val="18"/>
              </w:rPr>
              <w:t>Private; read access</w:t>
            </w:r>
          </w:p>
        </w:tc>
      </w:tr>
      <w:tr w:rsidR="00B74030">
        <w:trPr>
          <w:cantSplit/>
          <w:jc w:val="center"/>
        </w:trPr>
        <w:tc>
          <w:tcPr>
            <w:tcW w:w="1944" w:type="dxa"/>
          </w:tcPr>
          <w:p w:rsidR="00B74030" w:rsidRDefault="009C065B">
            <w:pPr>
              <w:spacing w:before="40" w:after="80" w:line="240" w:lineRule="auto"/>
            </w:pPr>
            <w:hyperlink r:id="rId8">
              <w:r w:rsidR="00406097">
                <w:rPr>
                  <w:color w:val="0563C1"/>
                </w:rPr>
                <w:t>Result Traceability Evidence</w:t>
              </w:r>
            </w:hyperlink>
          </w:p>
        </w:tc>
        <w:tc>
          <w:tcPr>
            <w:tcW w:w="3240" w:type="dxa"/>
          </w:tcPr>
          <w:p w:rsidR="00B74030" w:rsidRDefault="00406097">
            <w:pPr>
              <w:spacing w:before="40" w:after="80" w:line="240" w:lineRule="auto"/>
            </w:pPr>
            <w:r>
              <w:rPr>
                <w:sz w:val="18"/>
              </w:rPr>
              <w:t>Scores, calibration, metrics and scenario derivations</w:t>
            </w:r>
          </w:p>
        </w:tc>
        <w:tc>
          <w:tcPr>
            <w:tcW w:w="3240" w:type="dxa"/>
          </w:tcPr>
          <w:p w:rsidR="00B74030" w:rsidRDefault="00406097">
            <w:pPr>
              <w:spacing w:before="40" w:after="80" w:line="240" w:lineRule="auto"/>
            </w:pPr>
            <w:r>
              <w:rPr>
                <w:sz w:val="18"/>
              </w:rPr>
              <w:t>Private; read access</w:t>
            </w:r>
          </w:p>
        </w:tc>
      </w:tr>
      <w:tr w:rsidR="00B74030">
        <w:trPr>
          <w:cantSplit/>
          <w:jc w:val="center"/>
        </w:trPr>
        <w:tc>
          <w:tcPr>
            <w:tcW w:w="1944" w:type="dxa"/>
          </w:tcPr>
          <w:p w:rsidR="00B74030" w:rsidRDefault="009C065B">
            <w:pPr>
              <w:spacing w:before="40" w:after="80" w:line="240" w:lineRule="auto"/>
            </w:pPr>
            <w:hyperlink r:id="rId9">
              <w:r w:rsidR="00406097">
                <w:rPr>
                  <w:color w:val="0563C1"/>
                </w:rPr>
                <w:t>Computational Reproduction Evidence</w:t>
              </w:r>
            </w:hyperlink>
          </w:p>
        </w:tc>
        <w:tc>
          <w:tcPr>
            <w:tcW w:w="3240" w:type="dxa"/>
          </w:tcPr>
          <w:p w:rsidR="00B74030" w:rsidRDefault="00406097">
            <w:pPr>
              <w:spacing w:before="40" w:after="80" w:line="240" w:lineRule="auto"/>
            </w:pPr>
            <w:r>
              <w:rPr>
                <w:sz w:val="18"/>
              </w:rPr>
              <w:t>Replay inputs, model identities and comparisons</w:t>
            </w:r>
          </w:p>
        </w:tc>
        <w:tc>
          <w:tcPr>
            <w:tcW w:w="3240" w:type="dxa"/>
          </w:tcPr>
          <w:p w:rsidR="00B74030" w:rsidRDefault="00406097">
            <w:pPr>
              <w:spacing w:before="40" w:after="80" w:line="240" w:lineRule="auto"/>
            </w:pPr>
            <w:r>
              <w:rPr>
                <w:sz w:val="18"/>
              </w:rPr>
              <w:t>Private; read access</w:t>
            </w:r>
          </w:p>
        </w:tc>
      </w:tr>
      <w:tr w:rsidR="00B74030">
        <w:trPr>
          <w:cantSplit/>
          <w:jc w:val="center"/>
        </w:trPr>
        <w:tc>
          <w:tcPr>
            <w:tcW w:w="1944" w:type="dxa"/>
          </w:tcPr>
          <w:p w:rsidR="00B74030" w:rsidRDefault="009C065B">
            <w:pPr>
              <w:spacing w:before="40" w:after="80" w:line="240" w:lineRule="auto"/>
            </w:pPr>
            <w:hyperlink r:id="rId10" w:anchor="security-validation">
              <w:r w:rsidR="00406097">
                <w:rPr>
                  <w:color w:val="0563C1"/>
                </w:rPr>
                <w:t>Security Validation and SV05 Repair Evidence</w:t>
              </w:r>
            </w:hyperlink>
          </w:p>
        </w:tc>
        <w:tc>
          <w:tcPr>
            <w:tcW w:w="3240" w:type="dxa"/>
          </w:tcPr>
          <w:p w:rsidR="00B74030" w:rsidRDefault="00406097">
            <w:pPr>
              <w:spacing w:before="40" w:after="80" w:line="240" w:lineRule="auto"/>
            </w:pPr>
            <w:r>
              <w:rPr>
                <w:sz w:val="18"/>
              </w:rPr>
              <w:t>Original suite and separate correction/retests</w:t>
            </w:r>
          </w:p>
        </w:tc>
        <w:tc>
          <w:tcPr>
            <w:tcW w:w="3240" w:type="dxa"/>
          </w:tcPr>
          <w:p w:rsidR="00B74030" w:rsidRDefault="00406097">
            <w:pPr>
              <w:spacing w:before="40" w:after="80" w:line="240" w:lineRule="auto"/>
            </w:pPr>
            <w:r>
              <w:rPr>
                <w:sz w:val="18"/>
              </w:rPr>
              <w:t>Private; read access</w:t>
            </w:r>
          </w:p>
        </w:tc>
      </w:tr>
      <w:tr w:rsidR="00B74030">
        <w:trPr>
          <w:cantSplit/>
          <w:jc w:val="center"/>
        </w:trPr>
        <w:tc>
          <w:tcPr>
            <w:tcW w:w="1944" w:type="dxa"/>
          </w:tcPr>
          <w:p w:rsidR="00B74030" w:rsidRDefault="009C065B">
            <w:pPr>
              <w:spacing w:before="40" w:after="80" w:line="240" w:lineRule="auto"/>
            </w:pPr>
            <w:hyperlink r:id="rId11">
              <w:r w:rsidR="00406097">
                <w:rPr>
                  <w:color w:val="0563C1"/>
                </w:rPr>
                <w:t>Supplementary Diagnostics</w:t>
              </w:r>
            </w:hyperlink>
          </w:p>
        </w:tc>
        <w:tc>
          <w:tcPr>
            <w:tcW w:w="3240" w:type="dxa"/>
          </w:tcPr>
          <w:p w:rsidR="00B74030" w:rsidRDefault="00406097">
            <w:pPr>
              <w:spacing w:before="40" w:after="80" w:line="240" w:lineRule="auto"/>
            </w:pPr>
            <w:r>
              <w:rPr>
                <w:sz w:val="18"/>
              </w:rPr>
              <w:t>Fixed-model diagnostic code and records</w:t>
            </w:r>
          </w:p>
        </w:tc>
        <w:tc>
          <w:tcPr>
            <w:tcW w:w="3240" w:type="dxa"/>
          </w:tcPr>
          <w:p w:rsidR="00B74030" w:rsidRDefault="00406097">
            <w:pPr>
              <w:spacing w:before="40" w:after="80" w:line="240" w:lineRule="auto"/>
            </w:pPr>
            <w:r>
              <w:rPr>
                <w:sz w:val="18"/>
              </w:rPr>
              <w:t>Private; read access</w:t>
            </w:r>
          </w:p>
        </w:tc>
      </w:tr>
      <w:tr w:rsidR="00B74030">
        <w:trPr>
          <w:cantSplit/>
          <w:jc w:val="center"/>
        </w:trPr>
        <w:tc>
          <w:tcPr>
            <w:tcW w:w="1944" w:type="dxa"/>
          </w:tcPr>
          <w:p w:rsidR="00B74030" w:rsidRDefault="009C065B">
            <w:pPr>
              <w:spacing w:before="40" w:after="80" w:line="240" w:lineRule="auto"/>
            </w:pPr>
            <w:hyperlink r:id="rId12">
              <w:r w:rsidR="00406097">
                <w:rPr>
                  <w:rStyle w:val="Hyperlink"/>
                </w:rPr>
                <w:t>Complete reproduction assets</w:t>
              </w:r>
            </w:hyperlink>
          </w:p>
        </w:tc>
        <w:tc>
          <w:tcPr>
            <w:tcW w:w="3240" w:type="dxa"/>
          </w:tcPr>
          <w:p w:rsidR="00B74030" w:rsidRDefault="00406097">
            <w:pPr>
              <w:spacing w:before="40" w:after="80" w:line="240" w:lineRule="auto"/>
            </w:pPr>
            <w:r>
              <w:rPr>
                <w:sz w:val="18"/>
              </w:rPr>
              <w:t>Raw snapshot, 30 checkpoints, prepared inputs, wheels and controls</w:t>
            </w:r>
          </w:p>
        </w:tc>
        <w:tc>
          <w:tcPr>
            <w:tcW w:w="3240" w:type="dxa"/>
          </w:tcPr>
          <w:p w:rsidR="00B74030" w:rsidRDefault="00406097">
            <w:pPr>
              <w:spacing w:before="40" w:after="80" w:line="240" w:lineRule="auto"/>
            </w:pPr>
            <w:r>
              <w:rPr>
                <w:sz w:val="18"/>
              </w:rPr>
              <w:t>Private release; read access</w:t>
            </w:r>
          </w:p>
        </w:tc>
      </w:tr>
    </w:tbl>
    <w:p w:rsidR="00B74030" w:rsidRDefault="00406097">
      <w:pPr>
        <w:pStyle w:val="Heading2"/>
      </w:pPr>
      <w:bookmarkStart w:id="92" w:name="_Toc243863216"/>
      <w:r>
        <w:t>C.9 Supplementary diagnostic details</w:t>
      </w:r>
      <w:bookmarkEnd w:id="92"/>
    </w:p>
    <w:p w:rsidR="00B74030" w:rsidRDefault="00406097">
      <w:pPr>
        <w:spacing w:line="240" w:lineRule="auto"/>
      </w:pPr>
      <w:r>
        <w:t>Section 4.12 diagnostics used unchanged checkpoints, encoded inputs and thresholds. The diagnostic package contains code, input identities, aggregate entity intersections, five-seed loss contributions and sixteen anonymous examples. Raw benchmark records and selected weights are supplied separately in the controlled-access reproduction packages.</w:t>
      </w:r>
    </w:p>
    <w:p w:rsidR="00B74030" w:rsidRDefault="00406097">
      <w:pPr>
        <w:pStyle w:val="TableCaption"/>
      </w:pPr>
      <w:bookmarkStart w:id="93" w:name="Ref_Table_C_10"/>
      <w:bookmarkStart w:id="94" w:name="_Toc243863270"/>
      <w:r>
        <w:t>Table C.10</w:t>
      </w:r>
      <w:bookmarkEnd w:id="93"/>
      <w:r>
        <w:t>: Recurrence of training actors and patients within each client in the fixed tests</w:t>
      </w:r>
      <w:bookmarkEnd w:id="94"/>
    </w:p>
    <w:tbl>
      <w:tblPr>
        <w:tblW w:w="0" w:type="auto"/>
        <w:jc w:val="center"/>
        <w:tblLayout w:type="fixed"/>
        <w:tblLook w:val="04A0" w:firstRow="1" w:lastRow="0" w:firstColumn="1" w:lastColumn="0" w:noHBand="0" w:noVBand="1"/>
      </w:tblPr>
      <w:tblGrid>
        <w:gridCol w:w="2664"/>
        <w:gridCol w:w="864"/>
        <w:gridCol w:w="2016"/>
        <w:gridCol w:w="2448"/>
      </w:tblGrid>
      <w:tr w:rsidR="00B74030">
        <w:trPr>
          <w:cantSplit/>
          <w:tblHeader/>
          <w:jc w:val="center"/>
        </w:trPr>
        <w:tc>
          <w:tcPr>
            <w:tcW w:w="2664" w:type="dxa"/>
          </w:tcPr>
          <w:p w:rsidR="00B74030" w:rsidRDefault="00406097">
            <w:pPr>
              <w:keepNext/>
              <w:spacing w:before="40" w:after="80" w:line="240" w:lineRule="auto"/>
            </w:pPr>
            <w:r>
              <w:rPr>
                <w:b/>
                <w:sz w:val="18"/>
              </w:rPr>
              <w:t>Test / source class</w:t>
            </w:r>
          </w:p>
        </w:tc>
        <w:tc>
          <w:tcPr>
            <w:tcW w:w="864" w:type="dxa"/>
          </w:tcPr>
          <w:p w:rsidR="00B74030" w:rsidRDefault="00406097">
            <w:pPr>
              <w:keepNext/>
              <w:spacing w:before="40" w:after="80" w:line="240" w:lineRule="auto"/>
            </w:pPr>
            <w:r>
              <w:rPr>
                <w:b/>
                <w:sz w:val="18"/>
              </w:rPr>
              <w:t>Sessions</w:t>
            </w:r>
          </w:p>
        </w:tc>
        <w:tc>
          <w:tcPr>
            <w:tcW w:w="2016" w:type="dxa"/>
          </w:tcPr>
          <w:p w:rsidR="00B74030" w:rsidRDefault="00406097">
            <w:pPr>
              <w:keepNext/>
              <w:spacing w:before="40" w:after="80" w:line="240" w:lineRule="auto"/>
            </w:pPr>
            <w:r>
              <w:rPr>
                <w:b/>
                <w:sz w:val="18"/>
              </w:rPr>
              <w:t>Sessions with all actors seen in same-client training</w:t>
            </w:r>
          </w:p>
        </w:tc>
        <w:tc>
          <w:tcPr>
            <w:tcW w:w="2448" w:type="dxa"/>
          </w:tcPr>
          <w:p w:rsidR="00B74030" w:rsidRDefault="00406097">
            <w:pPr>
              <w:keepNext/>
              <w:spacing w:before="40" w:after="80" w:line="240" w:lineRule="auto"/>
            </w:pPr>
            <w:r>
              <w:rPr>
                <w:b/>
                <w:sz w:val="18"/>
              </w:rPr>
              <w:t>Sessions with any patient unseen in same-client training</w:t>
            </w:r>
          </w:p>
        </w:tc>
      </w:tr>
      <w:tr w:rsidR="00B74030">
        <w:trPr>
          <w:cantSplit/>
          <w:jc w:val="center"/>
        </w:trPr>
        <w:tc>
          <w:tcPr>
            <w:tcW w:w="2664" w:type="dxa"/>
          </w:tcPr>
          <w:p w:rsidR="00B74030" w:rsidRDefault="00406097">
            <w:pPr>
              <w:spacing w:before="40" w:after="80" w:line="240" w:lineRule="auto"/>
            </w:pPr>
            <w:r>
              <w:rPr>
                <w:sz w:val="18"/>
              </w:rPr>
              <w:t>Held-out: routine</w:t>
            </w:r>
          </w:p>
        </w:tc>
        <w:tc>
          <w:tcPr>
            <w:tcW w:w="864" w:type="dxa"/>
          </w:tcPr>
          <w:p w:rsidR="00B74030" w:rsidRDefault="00406097">
            <w:pPr>
              <w:spacing w:before="40" w:after="80" w:line="240" w:lineRule="auto"/>
            </w:pPr>
            <w:r>
              <w:rPr>
                <w:sz w:val="18"/>
              </w:rPr>
              <w:t>1986</w:t>
            </w:r>
          </w:p>
        </w:tc>
        <w:tc>
          <w:tcPr>
            <w:tcW w:w="2016" w:type="dxa"/>
          </w:tcPr>
          <w:p w:rsidR="00B74030" w:rsidRDefault="00406097">
            <w:pPr>
              <w:spacing w:before="40" w:after="80" w:line="240" w:lineRule="auto"/>
            </w:pPr>
            <w:r>
              <w:rPr>
                <w:sz w:val="18"/>
              </w:rPr>
              <w:t>1986</w:t>
            </w:r>
          </w:p>
        </w:tc>
        <w:tc>
          <w:tcPr>
            <w:tcW w:w="2448" w:type="dxa"/>
          </w:tcPr>
          <w:p w:rsidR="00B74030" w:rsidRDefault="00406097">
            <w:pPr>
              <w:spacing w:before="40" w:after="80" w:line="240" w:lineRule="auto"/>
            </w:pPr>
            <w:r>
              <w:rPr>
                <w:sz w:val="18"/>
              </w:rPr>
              <w:t>230</w:t>
            </w:r>
          </w:p>
        </w:tc>
      </w:tr>
      <w:tr w:rsidR="00B74030">
        <w:trPr>
          <w:cantSplit/>
          <w:jc w:val="center"/>
        </w:trPr>
        <w:tc>
          <w:tcPr>
            <w:tcW w:w="2664" w:type="dxa"/>
          </w:tcPr>
          <w:p w:rsidR="00B74030" w:rsidRDefault="00406097">
            <w:pPr>
              <w:spacing w:before="40" w:after="80" w:line="240" w:lineRule="auto"/>
            </w:pPr>
            <w:r>
              <w:rPr>
                <w:sz w:val="18"/>
              </w:rPr>
              <w:t>Held-out: threat</w:t>
            </w:r>
          </w:p>
        </w:tc>
        <w:tc>
          <w:tcPr>
            <w:tcW w:w="864" w:type="dxa"/>
          </w:tcPr>
          <w:p w:rsidR="00B74030" w:rsidRDefault="00406097">
            <w:pPr>
              <w:spacing w:before="40" w:after="80" w:line="240" w:lineRule="auto"/>
            </w:pPr>
            <w:r>
              <w:rPr>
                <w:sz w:val="18"/>
              </w:rPr>
              <w:t>189</w:t>
            </w:r>
          </w:p>
        </w:tc>
        <w:tc>
          <w:tcPr>
            <w:tcW w:w="201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14</w:t>
            </w:r>
          </w:p>
        </w:tc>
      </w:tr>
      <w:tr w:rsidR="00B74030">
        <w:trPr>
          <w:cantSplit/>
          <w:jc w:val="center"/>
        </w:trPr>
        <w:tc>
          <w:tcPr>
            <w:tcW w:w="2664" w:type="dxa"/>
          </w:tcPr>
          <w:p w:rsidR="00B74030" w:rsidRDefault="00406097">
            <w:pPr>
              <w:spacing w:before="40" w:after="80" w:line="240" w:lineRule="auto"/>
            </w:pPr>
            <w:r>
              <w:rPr>
                <w:sz w:val="18"/>
              </w:rPr>
              <w:t>Held-out: unusual legitimate</w:t>
            </w:r>
          </w:p>
        </w:tc>
        <w:tc>
          <w:tcPr>
            <w:tcW w:w="864" w:type="dxa"/>
          </w:tcPr>
          <w:p w:rsidR="00B74030" w:rsidRDefault="00406097">
            <w:pPr>
              <w:spacing w:before="40" w:after="80" w:line="240" w:lineRule="auto"/>
            </w:pPr>
            <w:r>
              <w:rPr>
                <w:sz w:val="18"/>
              </w:rPr>
              <w:t>189</w:t>
            </w:r>
          </w:p>
        </w:tc>
        <w:tc>
          <w:tcPr>
            <w:tcW w:w="2016" w:type="dxa"/>
          </w:tcPr>
          <w:p w:rsidR="00B74030" w:rsidRDefault="00406097">
            <w:pPr>
              <w:spacing w:before="40" w:after="80" w:line="240" w:lineRule="auto"/>
            </w:pPr>
            <w:r>
              <w:rPr>
                <w:sz w:val="18"/>
              </w:rPr>
              <w:t>189</w:t>
            </w:r>
          </w:p>
        </w:tc>
        <w:tc>
          <w:tcPr>
            <w:tcW w:w="2448" w:type="dxa"/>
          </w:tcPr>
          <w:p w:rsidR="00B74030" w:rsidRDefault="00406097">
            <w:pPr>
              <w:spacing w:before="40" w:after="80" w:line="240" w:lineRule="auto"/>
            </w:pPr>
            <w:r>
              <w:rPr>
                <w:sz w:val="18"/>
              </w:rPr>
              <w:t>14</w:t>
            </w:r>
          </w:p>
        </w:tc>
      </w:tr>
      <w:tr w:rsidR="00B74030">
        <w:trPr>
          <w:cantSplit/>
          <w:jc w:val="center"/>
        </w:trPr>
        <w:tc>
          <w:tcPr>
            <w:tcW w:w="2664" w:type="dxa"/>
          </w:tcPr>
          <w:p w:rsidR="00B74030" w:rsidRDefault="00406097">
            <w:pPr>
              <w:spacing w:before="40" w:after="80" w:line="240" w:lineRule="auto"/>
            </w:pPr>
            <w:r>
              <w:rPr>
                <w:sz w:val="18"/>
              </w:rPr>
              <w:t>Known: threat</w:t>
            </w:r>
          </w:p>
        </w:tc>
        <w:tc>
          <w:tcPr>
            <w:tcW w:w="864" w:type="dxa"/>
          </w:tcPr>
          <w:p w:rsidR="00B74030" w:rsidRDefault="00406097">
            <w:pPr>
              <w:spacing w:before="40" w:after="80" w:line="240" w:lineRule="auto"/>
            </w:pPr>
            <w:r>
              <w:rPr>
                <w:sz w:val="18"/>
              </w:rPr>
              <w:t>378</w:t>
            </w:r>
          </w:p>
        </w:tc>
        <w:tc>
          <w:tcPr>
            <w:tcW w:w="2016" w:type="dxa"/>
          </w:tcPr>
          <w:p w:rsidR="00B74030" w:rsidRDefault="00406097">
            <w:pPr>
              <w:spacing w:before="40" w:after="80" w:line="240" w:lineRule="auto"/>
            </w:pPr>
            <w:r>
              <w:rPr>
                <w:sz w:val="18"/>
              </w:rPr>
              <w:t>378</w:t>
            </w:r>
          </w:p>
        </w:tc>
        <w:tc>
          <w:tcPr>
            <w:tcW w:w="2448" w:type="dxa"/>
          </w:tcPr>
          <w:p w:rsidR="00B74030" w:rsidRDefault="00406097">
            <w:pPr>
              <w:spacing w:before="40" w:after="80" w:line="240" w:lineRule="auto"/>
            </w:pPr>
            <w:r>
              <w:rPr>
                <w:sz w:val="18"/>
              </w:rPr>
              <w:t>131</w:t>
            </w:r>
          </w:p>
        </w:tc>
      </w:tr>
      <w:tr w:rsidR="00B74030">
        <w:trPr>
          <w:cantSplit/>
          <w:jc w:val="center"/>
        </w:trPr>
        <w:tc>
          <w:tcPr>
            <w:tcW w:w="2664" w:type="dxa"/>
          </w:tcPr>
          <w:p w:rsidR="00B74030" w:rsidRDefault="00406097">
            <w:pPr>
              <w:keepNext/>
              <w:spacing w:before="40" w:after="80" w:line="240" w:lineRule="auto"/>
            </w:pPr>
            <w:r>
              <w:rPr>
                <w:sz w:val="18"/>
              </w:rPr>
              <w:t>Known: unusual legitimate</w:t>
            </w:r>
          </w:p>
        </w:tc>
        <w:tc>
          <w:tcPr>
            <w:tcW w:w="864" w:type="dxa"/>
          </w:tcPr>
          <w:p w:rsidR="00B74030" w:rsidRDefault="00406097">
            <w:pPr>
              <w:keepNext/>
              <w:spacing w:before="40" w:after="80" w:line="240" w:lineRule="auto"/>
            </w:pPr>
            <w:r>
              <w:rPr>
                <w:sz w:val="18"/>
              </w:rPr>
              <w:t>267</w:t>
            </w:r>
          </w:p>
        </w:tc>
        <w:tc>
          <w:tcPr>
            <w:tcW w:w="2016" w:type="dxa"/>
          </w:tcPr>
          <w:p w:rsidR="00B74030" w:rsidRDefault="00406097">
            <w:pPr>
              <w:keepNext/>
              <w:spacing w:before="40" w:after="80" w:line="240" w:lineRule="auto"/>
            </w:pPr>
            <w:r>
              <w:rPr>
                <w:sz w:val="18"/>
              </w:rPr>
              <w:t>267</w:t>
            </w:r>
          </w:p>
        </w:tc>
        <w:tc>
          <w:tcPr>
            <w:tcW w:w="2448" w:type="dxa"/>
          </w:tcPr>
          <w:p w:rsidR="00B74030" w:rsidRDefault="00406097">
            <w:pPr>
              <w:keepNext/>
              <w:spacing w:before="40" w:after="80" w:line="240" w:lineRule="auto"/>
            </w:pPr>
            <w:r>
              <w:rPr>
                <w:sz w:val="18"/>
              </w:rPr>
              <w:t>75</w:t>
            </w:r>
          </w:p>
        </w:tc>
      </w:tr>
    </w:tbl>
    <w:p w:rsidR="00B74030" w:rsidRDefault="00406097">
      <w:pPr>
        <w:spacing w:line="240" w:lineRule="auto"/>
      </w:pPr>
      <w:r>
        <w:t>Note. Seen actors appear in the same client’s training events. The last column counts sessions containing any unseen patient, not distinct patients. All groups contain only seen actors.</w:t>
      </w:r>
    </w:p>
    <w:p w:rsidR="00B74030" w:rsidRDefault="00406097">
      <w:pPr>
        <w:pStyle w:val="TableCaption"/>
      </w:pPr>
      <w:bookmarkStart w:id="95" w:name="Ref_Table_C_11"/>
      <w:bookmarkStart w:id="96" w:name="_Toc243863271"/>
      <w:r>
        <w:lastRenderedPageBreak/>
        <w:t>Table C.11</w:t>
      </w:r>
      <w:bookmarkEnd w:id="95"/>
      <w:r>
        <w:t>: Score calculations with fixed model outputs for C</w:t>
      </w:r>
      <w:bookmarkEnd w:id="96"/>
    </w:p>
    <w:tbl>
      <w:tblPr>
        <w:tblW w:w="0" w:type="auto"/>
        <w:jc w:val="center"/>
        <w:tblLayout w:type="fixed"/>
        <w:tblLook w:val="04A0" w:firstRow="1" w:lastRow="0" w:firstColumn="1" w:lastColumn="0" w:noHBand="0" w:noVBand="1"/>
      </w:tblPr>
      <w:tblGrid>
        <w:gridCol w:w="2664"/>
        <w:gridCol w:w="864"/>
        <w:gridCol w:w="2232"/>
        <w:gridCol w:w="2232"/>
      </w:tblGrid>
      <w:tr w:rsidR="00B74030">
        <w:trPr>
          <w:cantSplit/>
          <w:tblHeader/>
          <w:jc w:val="center"/>
        </w:trPr>
        <w:tc>
          <w:tcPr>
            <w:tcW w:w="2664" w:type="dxa"/>
          </w:tcPr>
          <w:p w:rsidR="00B74030" w:rsidRDefault="00406097">
            <w:pPr>
              <w:keepNext/>
              <w:spacing w:before="40" w:after="80" w:line="240" w:lineRule="auto"/>
            </w:pPr>
            <w:r>
              <w:rPr>
                <w:b/>
                <w:sz w:val="18"/>
              </w:rPr>
              <w:t>Test / source class</w:t>
            </w:r>
          </w:p>
        </w:tc>
        <w:tc>
          <w:tcPr>
            <w:tcW w:w="864" w:type="dxa"/>
          </w:tcPr>
          <w:p w:rsidR="00B74030" w:rsidRDefault="00406097">
            <w:pPr>
              <w:keepNext/>
              <w:spacing w:before="40" w:after="80" w:line="240" w:lineRule="auto"/>
            </w:pPr>
            <w:r>
              <w:rPr>
                <w:b/>
                <w:sz w:val="18"/>
              </w:rPr>
              <w:t>Sessions</w:t>
            </w:r>
          </w:p>
        </w:tc>
        <w:tc>
          <w:tcPr>
            <w:tcW w:w="2232" w:type="dxa"/>
          </w:tcPr>
          <w:p w:rsidR="00B74030" w:rsidRDefault="00406097">
            <w:pPr>
              <w:keepNext/>
              <w:spacing w:before="40" w:after="80" w:line="240" w:lineRule="auto"/>
            </w:pPr>
            <w:r>
              <w:rPr>
                <w:b/>
                <w:sz w:val="18"/>
              </w:rPr>
              <w:t>Fixed-13 delta (%): Ref / NI</w:t>
            </w:r>
          </w:p>
        </w:tc>
        <w:tc>
          <w:tcPr>
            <w:tcW w:w="2232" w:type="dxa"/>
          </w:tcPr>
          <w:p w:rsidR="00B74030" w:rsidRDefault="00406097">
            <w:pPr>
              <w:keepNext/>
              <w:spacing w:before="40" w:after="80" w:line="240" w:lineRule="auto"/>
            </w:pPr>
            <w:r>
              <w:rPr>
                <w:b/>
                <w:sz w:val="18"/>
              </w:rPr>
              <w:t>Omit ward-head delta (%): Ref / NI</w:t>
            </w:r>
          </w:p>
        </w:tc>
      </w:tr>
      <w:tr w:rsidR="00B74030">
        <w:trPr>
          <w:cantSplit/>
          <w:jc w:val="center"/>
        </w:trPr>
        <w:tc>
          <w:tcPr>
            <w:tcW w:w="2664" w:type="dxa"/>
          </w:tcPr>
          <w:p w:rsidR="00B74030" w:rsidRDefault="00406097">
            <w:pPr>
              <w:spacing w:before="40" w:after="80" w:line="240" w:lineRule="auto"/>
            </w:pPr>
            <w:r>
              <w:rPr>
                <w:sz w:val="18"/>
              </w:rPr>
              <w:t>Held-out: routine</w:t>
            </w:r>
          </w:p>
        </w:tc>
        <w:tc>
          <w:tcPr>
            <w:tcW w:w="864" w:type="dxa"/>
          </w:tcPr>
          <w:p w:rsidR="00B74030" w:rsidRDefault="00406097">
            <w:pPr>
              <w:spacing w:before="40" w:after="80" w:line="240" w:lineRule="auto"/>
            </w:pPr>
            <w:r>
              <w:rPr>
                <w:sz w:val="18"/>
              </w:rPr>
              <w:t>1986</w:t>
            </w:r>
          </w:p>
        </w:tc>
        <w:tc>
          <w:tcPr>
            <w:tcW w:w="2232" w:type="dxa"/>
          </w:tcPr>
          <w:p w:rsidR="00B74030" w:rsidRDefault="00406097">
            <w:pPr>
              <w:spacing w:before="40" w:after="80" w:line="240" w:lineRule="auto"/>
            </w:pPr>
            <w:r>
              <w:rPr>
                <w:sz w:val="18"/>
              </w:rPr>
              <w:t>-0.224 / -0.221</w:t>
            </w:r>
          </w:p>
        </w:tc>
        <w:tc>
          <w:tcPr>
            <w:tcW w:w="2232" w:type="dxa"/>
          </w:tcPr>
          <w:p w:rsidR="00B74030" w:rsidRDefault="00406097">
            <w:pPr>
              <w:spacing w:before="40" w:after="80" w:line="240" w:lineRule="auto"/>
            </w:pPr>
            <w:r>
              <w:rPr>
                <w:sz w:val="18"/>
              </w:rPr>
              <w:t>+5.768 / +4.979</w:t>
            </w:r>
          </w:p>
        </w:tc>
      </w:tr>
      <w:tr w:rsidR="00B74030">
        <w:trPr>
          <w:cantSplit/>
          <w:jc w:val="center"/>
        </w:trPr>
        <w:tc>
          <w:tcPr>
            <w:tcW w:w="2664" w:type="dxa"/>
          </w:tcPr>
          <w:p w:rsidR="00B74030" w:rsidRDefault="00406097">
            <w:pPr>
              <w:spacing w:before="40" w:after="80" w:line="240" w:lineRule="auto"/>
            </w:pPr>
            <w:r>
              <w:rPr>
                <w:sz w:val="18"/>
              </w:rPr>
              <w:t>Held-out: threat</w:t>
            </w:r>
          </w:p>
        </w:tc>
        <w:tc>
          <w:tcPr>
            <w:tcW w:w="864" w:type="dxa"/>
          </w:tcPr>
          <w:p w:rsidR="00B74030" w:rsidRDefault="00406097">
            <w:pPr>
              <w:spacing w:before="40" w:after="80" w:line="240" w:lineRule="auto"/>
            </w:pPr>
            <w:r>
              <w:rPr>
                <w:sz w:val="18"/>
              </w:rPr>
              <w:t>189</w:t>
            </w:r>
          </w:p>
        </w:tc>
        <w:tc>
          <w:tcPr>
            <w:tcW w:w="2232" w:type="dxa"/>
          </w:tcPr>
          <w:p w:rsidR="00B74030" w:rsidRDefault="00406097">
            <w:pPr>
              <w:spacing w:before="40" w:after="80" w:line="240" w:lineRule="auto"/>
            </w:pPr>
            <w:r>
              <w:rPr>
                <w:sz w:val="18"/>
              </w:rPr>
              <w:t>-0.151 / -0.148</w:t>
            </w:r>
          </w:p>
        </w:tc>
        <w:tc>
          <w:tcPr>
            <w:tcW w:w="2232" w:type="dxa"/>
          </w:tcPr>
          <w:p w:rsidR="00B74030" w:rsidRDefault="00406097">
            <w:pPr>
              <w:spacing w:before="40" w:after="80" w:line="240" w:lineRule="auto"/>
            </w:pPr>
            <w:r>
              <w:rPr>
                <w:sz w:val="18"/>
              </w:rPr>
              <w:t>+1.143 / +0.798</w:t>
            </w:r>
          </w:p>
        </w:tc>
      </w:tr>
      <w:tr w:rsidR="00B74030">
        <w:trPr>
          <w:cantSplit/>
          <w:jc w:val="center"/>
        </w:trPr>
        <w:tc>
          <w:tcPr>
            <w:tcW w:w="2664" w:type="dxa"/>
          </w:tcPr>
          <w:p w:rsidR="00B74030" w:rsidRDefault="00406097">
            <w:pPr>
              <w:spacing w:before="40" w:after="80" w:line="240" w:lineRule="auto"/>
            </w:pPr>
            <w:r>
              <w:rPr>
                <w:sz w:val="18"/>
              </w:rPr>
              <w:t>Held-out: unusual legitimate</w:t>
            </w:r>
          </w:p>
        </w:tc>
        <w:tc>
          <w:tcPr>
            <w:tcW w:w="864" w:type="dxa"/>
          </w:tcPr>
          <w:p w:rsidR="00B74030" w:rsidRDefault="00406097">
            <w:pPr>
              <w:spacing w:before="40" w:after="80" w:line="240" w:lineRule="auto"/>
            </w:pPr>
            <w:r>
              <w:rPr>
                <w:sz w:val="18"/>
              </w:rPr>
              <w:t>189</w:t>
            </w:r>
          </w:p>
        </w:tc>
        <w:tc>
          <w:tcPr>
            <w:tcW w:w="2232" w:type="dxa"/>
          </w:tcPr>
          <w:p w:rsidR="00B74030" w:rsidRDefault="00406097">
            <w:pPr>
              <w:spacing w:before="40" w:after="80" w:line="240" w:lineRule="auto"/>
            </w:pPr>
            <w:r>
              <w:rPr>
                <w:sz w:val="18"/>
              </w:rPr>
              <w:t>-1.104 / -0.926</w:t>
            </w:r>
          </w:p>
        </w:tc>
        <w:tc>
          <w:tcPr>
            <w:tcW w:w="2232" w:type="dxa"/>
          </w:tcPr>
          <w:p w:rsidR="00B74030" w:rsidRDefault="00406097">
            <w:pPr>
              <w:spacing w:before="40" w:after="80" w:line="240" w:lineRule="auto"/>
            </w:pPr>
            <w:r>
              <w:rPr>
                <w:sz w:val="18"/>
              </w:rPr>
              <w:t>+0.939 / +0.392</w:t>
            </w:r>
          </w:p>
        </w:tc>
      </w:tr>
      <w:tr w:rsidR="00B74030">
        <w:trPr>
          <w:cantSplit/>
          <w:jc w:val="center"/>
        </w:trPr>
        <w:tc>
          <w:tcPr>
            <w:tcW w:w="2664" w:type="dxa"/>
          </w:tcPr>
          <w:p w:rsidR="00B74030" w:rsidRDefault="00406097">
            <w:pPr>
              <w:spacing w:before="40" w:after="80" w:line="240" w:lineRule="auto"/>
            </w:pPr>
            <w:r>
              <w:rPr>
                <w:sz w:val="18"/>
              </w:rPr>
              <w:t>Known: threat</w:t>
            </w:r>
          </w:p>
        </w:tc>
        <w:tc>
          <w:tcPr>
            <w:tcW w:w="864" w:type="dxa"/>
          </w:tcPr>
          <w:p w:rsidR="00B74030" w:rsidRDefault="00406097">
            <w:pPr>
              <w:spacing w:before="40" w:after="80" w:line="240" w:lineRule="auto"/>
            </w:pPr>
            <w:r>
              <w:rPr>
                <w:sz w:val="18"/>
              </w:rPr>
              <w:t>378</w:t>
            </w:r>
          </w:p>
        </w:tc>
        <w:tc>
          <w:tcPr>
            <w:tcW w:w="2232" w:type="dxa"/>
          </w:tcPr>
          <w:p w:rsidR="00B74030" w:rsidRDefault="00406097">
            <w:pPr>
              <w:spacing w:before="40" w:after="80" w:line="240" w:lineRule="auto"/>
            </w:pPr>
            <w:r>
              <w:rPr>
                <w:sz w:val="18"/>
              </w:rPr>
              <w:t>-0.568 / -0.569</w:t>
            </w:r>
          </w:p>
        </w:tc>
        <w:tc>
          <w:tcPr>
            <w:tcW w:w="2232" w:type="dxa"/>
          </w:tcPr>
          <w:p w:rsidR="00B74030" w:rsidRDefault="00406097">
            <w:pPr>
              <w:spacing w:before="40" w:after="80" w:line="240" w:lineRule="auto"/>
            </w:pPr>
            <w:r>
              <w:rPr>
                <w:sz w:val="18"/>
              </w:rPr>
              <w:t>+4.980 / +4.572</w:t>
            </w:r>
          </w:p>
        </w:tc>
      </w:tr>
      <w:tr w:rsidR="00B74030">
        <w:trPr>
          <w:cantSplit/>
          <w:jc w:val="center"/>
        </w:trPr>
        <w:tc>
          <w:tcPr>
            <w:tcW w:w="2664" w:type="dxa"/>
          </w:tcPr>
          <w:p w:rsidR="00B74030" w:rsidRDefault="00406097">
            <w:pPr>
              <w:keepNext/>
              <w:spacing w:before="40" w:after="80" w:line="240" w:lineRule="auto"/>
            </w:pPr>
            <w:r>
              <w:rPr>
                <w:sz w:val="18"/>
              </w:rPr>
              <w:t>Known: unusual legitimate</w:t>
            </w:r>
          </w:p>
        </w:tc>
        <w:tc>
          <w:tcPr>
            <w:tcW w:w="864" w:type="dxa"/>
          </w:tcPr>
          <w:p w:rsidR="00B74030" w:rsidRDefault="00406097">
            <w:pPr>
              <w:keepNext/>
              <w:spacing w:before="40" w:after="80" w:line="240" w:lineRule="auto"/>
            </w:pPr>
            <w:r>
              <w:rPr>
                <w:sz w:val="18"/>
              </w:rPr>
              <w:t>267</w:t>
            </w:r>
          </w:p>
        </w:tc>
        <w:tc>
          <w:tcPr>
            <w:tcW w:w="2232" w:type="dxa"/>
          </w:tcPr>
          <w:p w:rsidR="00B74030" w:rsidRDefault="00406097">
            <w:pPr>
              <w:keepNext/>
              <w:spacing w:before="40" w:after="80" w:line="240" w:lineRule="auto"/>
            </w:pPr>
            <w:r>
              <w:rPr>
                <w:sz w:val="18"/>
              </w:rPr>
              <w:t>-1.568 / -1.563</w:t>
            </w:r>
          </w:p>
        </w:tc>
        <w:tc>
          <w:tcPr>
            <w:tcW w:w="2232" w:type="dxa"/>
          </w:tcPr>
          <w:p w:rsidR="00B74030" w:rsidRDefault="00406097">
            <w:pPr>
              <w:keepNext/>
              <w:spacing w:before="40" w:after="80" w:line="240" w:lineRule="auto"/>
            </w:pPr>
            <w:r>
              <w:rPr>
                <w:sz w:val="18"/>
              </w:rPr>
              <w:t>+1.280 / +0.677</w:t>
            </w:r>
          </w:p>
        </w:tc>
      </w:tr>
    </w:tbl>
    <w:p w:rsidR="00B74030" w:rsidRDefault="00406097">
      <w:pPr>
        <w:keepLines/>
        <w:spacing w:line="240" w:lineRule="auto"/>
      </w:pPr>
      <w:r>
        <w:t>Note. Values average five seed-specific percentage changes in class mean raw loss; Ref/NI denote Reference/controlled Non-IID. Fixed-13 divides by thirteen instead of valid categorical fields. Omit ward-head removes that output term and renormalises remaining terms. Model inputs, weights and predictions stay fixed; these are score-arithmetic diagnostics.</w:t>
      </w:r>
    </w:p>
    <w:p w:rsidR="00B74030" w:rsidRDefault="00406097">
      <w:pPr>
        <w:pStyle w:val="TableCaption"/>
      </w:pPr>
      <w:bookmarkStart w:id="97" w:name="Ref_Table_C_12"/>
      <w:bookmarkStart w:id="98" w:name="_Toc243863272"/>
      <w:r>
        <w:t>Table C.12</w:t>
      </w:r>
      <w:bookmarkEnd w:id="97"/>
      <w:r>
        <w:t>: Anonymous illustrative held-out decisions for C, Reference, seed 11</w:t>
      </w:r>
      <w:bookmarkEnd w:id="98"/>
    </w:p>
    <w:tbl>
      <w:tblPr>
        <w:tblW w:w="0" w:type="auto"/>
        <w:jc w:val="center"/>
        <w:tblLayout w:type="fixed"/>
        <w:tblLook w:val="04A0" w:firstRow="1" w:lastRow="0" w:firstColumn="1" w:lastColumn="0" w:noHBand="0" w:noVBand="1"/>
      </w:tblPr>
      <w:tblGrid>
        <w:gridCol w:w="2232"/>
        <w:gridCol w:w="720"/>
        <w:gridCol w:w="936"/>
        <w:gridCol w:w="1656"/>
        <w:gridCol w:w="2448"/>
      </w:tblGrid>
      <w:tr w:rsidR="00B74030">
        <w:trPr>
          <w:cantSplit/>
          <w:tblHeader/>
          <w:jc w:val="center"/>
        </w:trPr>
        <w:tc>
          <w:tcPr>
            <w:tcW w:w="2232" w:type="dxa"/>
          </w:tcPr>
          <w:p w:rsidR="00B74030" w:rsidRDefault="00406097">
            <w:pPr>
              <w:keepNext/>
              <w:spacing w:before="40" w:after="80" w:line="240" w:lineRule="auto"/>
            </w:pPr>
            <w:r>
              <w:rPr>
                <w:b/>
                <w:sz w:val="18"/>
              </w:rPr>
              <w:t>Outcome / source class</w:t>
            </w:r>
          </w:p>
        </w:tc>
        <w:tc>
          <w:tcPr>
            <w:tcW w:w="720" w:type="dxa"/>
          </w:tcPr>
          <w:p w:rsidR="00F615D5" w:rsidRDefault="00950C7D">
            <w:pPr>
              <w:spacing w:line="240" w:lineRule="auto"/>
            </w:pPr>
            <w:r>
              <w:rPr>
                <w:sz w:val="18"/>
              </w:rPr>
              <w:t>Row</w:t>
            </w:r>
          </w:p>
        </w:tc>
        <w:tc>
          <w:tcPr>
            <w:tcW w:w="936" w:type="dxa"/>
          </w:tcPr>
          <w:p w:rsidR="00B74030" w:rsidRDefault="00406097">
            <w:pPr>
              <w:keepNext/>
              <w:spacing w:before="40" w:after="80" w:line="240" w:lineRule="auto"/>
            </w:pPr>
            <w:r>
              <w:rPr>
                <w:b/>
                <w:sz w:val="18"/>
              </w:rPr>
              <w:t>Events</w:t>
            </w:r>
          </w:p>
        </w:tc>
        <w:tc>
          <w:tcPr>
            <w:tcW w:w="1656" w:type="dxa"/>
          </w:tcPr>
          <w:p w:rsidR="00B74030" w:rsidRDefault="00406097">
            <w:pPr>
              <w:keepNext/>
              <w:spacing w:before="40" w:after="80" w:line="240" w:lineRule="auto"/>
            </w:pPr>
            <w:r>
              <w:rPr>
                <w:b/>
                <w:sz w:val="18"/>
              </w:rPr>
              <w:t>Raw score / threshold</w:t>
            </w:r>
          </w:p>
        </w:tc>
        <w:tc>
          <w:tcPr>
            <w:tcW w:w="2448" w:type="dxa"/>
          </w:tcPr>
          <w:p w:rsidR="00B74030" w:rsidRDefault="00406097">
            <w:pPr>
              <w:keepNext/>
              <w:spacing w:before="40" w:after="80" w:line="240" w:lineRule="auto"/>
            </w:pPr>
            <w:r>
              <w:rPr>
                <w:b/>
                <w:sz w:val="18"/>
              </w:rPr>
              <w:t>Categorical / Boolean / temporal contributions</w:t>
            </w:r>
          </w:p>
        </w:tc>
      </w:tr>
      <w:tr w:rsidR="00B74030">
        <w:trPr>
          <w:cantSplit/>
          <w:jc w:val="center"/>
        </w:trPr>
        <w:tc>
          <w:tcPr>
            <w:tcW w:w="2232" w:type="dxa"/>
          </w:tcPr>
          <w:p w:rsidR="00B74030" w:rsidRDefault="00406097">
            <w:pPr>
              <w:spacing w:before="40" w:after="80" w:line="240" w:lineRule="auto"/>
            </w:pPr>
            <w:r>
              <w:rPr>
                <w:sz w:val="18"/>
              </w:rPr>
              <w:t>TN / routine legitimate</w:t>
            </w:r>
          </w:p>
        </w:tc>
        <w:tc>
          <w:tcPr>
            <w:tcW w:w="720" w:type="dxa"/>
          </w:tcPr>
          <w:p w:rsidR="00B74030" w:rsidRDefault="00406097">
            <w:pPr>
              <w:spacing w:before="40" w:after="80" w:line="240" w:lineRule="auto"/>
            </w:pPr>
            <w:r>
              <w:rPr>
                <w:sz w:val="18"/>
              </w:rPr>
              <w:t>247</w:t>
            </w:r>
          </w:p>
        </w:tc>
        <w:tc>
          <w:tcPr>
            <w:tcW w:w="936" w:type="dxa"/>
          </w:tcPr>
          <w:p w:rsidR="00B74030" w:rsidRDefault="00406097">
            <w:pPr>
              <w:spacing w:before="40" w:after="80" w:line="240" w:lineRule="auto"/>
            </w:pPr>
            <w:r>
              <w:rPr>
                <w:sz w:val="18"/>
              </w:rPr>
              <w:t>7</w:t>
            </w:r>
          </w:p>
        </w:tc>
        <w:tc>
          <w:tcPr>
            <w:tcW w:w="1656" w:type="dxa"/>
          </w:tcPr>
          <w:p w:rsidR="00B74030" w:rsidRDefault="00406097">
            <w:pPr>
              <w:spacing w:before="40" w:after="80" w:line="240" w:lineRule="auto"/>
            </w:pPr>
            <w:r>
              <w:rPr>
                <w:sz w:val="18"/>
              </w:rPr>
              <w:t>0.0976 / 0.2225</w:t>
            </w:r>
          </w:p>
        </w:tc>
        <w:tc>
          <w:tcPr>
            <w:tcW w:w="2448" w:type="dxa"/>
          </w:tcPr>
          <w:p w:rsidR="00B74030" w:rsidRDefault="00406097">
            <w:pPr>
              <w:spacing w:before="40" w:after="80" w:line="240" w:lineRule="auto"/>
            </w:pPr>
            <w:r>
              <w:rPr>
                <w:sz w:val="18"/>
              </w:rPr>
              <w:t>0.0922 / 0.0009 / 0.0044</w:t>
            </w:r>
          </w:p>
        </w:tc>
      </w:tr>
      <w:tr w:rsidR="00B74030">
        <w:trPr>
          <w:cantSplit/>
          <w:jc w:val="center"/>
        </w:trPr>
        <w:tc>
          <w:tcPr>
            <w:tcW w:w="2232" w:type="dxa"/>
          </w:tcPr>
          <w:p w:rsidR="00B74030" w:rsidRDefault="00406097">
            <w:pPr>
              <w:spacing w:before="40" w:after="80" w:line="240" w:lineRule="auto"/>
            </w:pPr>
            <w:r>
              <w:rPr>
                <w:sz w:val="18"/>
              </w:rPr>
              <w:t>FP / unusual legitimate</w:t>
            </w:r>
          </w:p>
        </w:tc>
        <w:tc>
          <w:tcPr>
            <w:tcW w:w="720" w:type="dxa"/>
          </w:tcPr>
          <w:p w:rsidR="00B74030" w:rsidRDefault="00406097">
            <w:pPr>
              <w:spacing w:before="40" w:after="80" w:line="240" w:lineRule="auto"/>
            </w:pPr>
            <w:r>
              <w:rPr>
                <w:sz w:val="18"/>
              </w:rPr>
              <w:t>776</w:t>
            </w:r>
          </w:p>
        </w:tc>
        <w:tc>
          <w:tcPr>
            <w:tcW w:w="936" w:type="dxa"/>
          </w:tcPr>
          <w:p w:rsidR="00B74030" w:rsidRDefault="00406097">
            <w:pPr>
              <w:spacing w:before="40" w:after="80" w:line="240" w:lineRule="auto"/>
            </w:pPr>
            <w:r>
              <w:rPr>
                <w:sz w:val="18"/>
              </w:rPr>
              <w:t>5</w:t>
            </w:r>
          </w:p>
        </w:tc>
        <w:tc>
          <w:tcPr>
            <w:tcW w:w="1656" w:type="dxa"/>
          </w:tcPr>
          <w:p w:rsidR="00B74030" w:rsidRDefault="00406097">
            <w:pPr>
              <w:spacing w:before="40" w:after="80" w:line="240" w:lineRule="auto"/>
            </w:pPr>
            <w:r>
              <w:rPr>
                <w:sz w:val="18"/>
              </w:rPr>
              <w:t>1.7430 / 0.2166</w:t>
            </w:r>
          </w:p>
        </w:tc>
        <w:tc>
          <w:tcPr>
            <w:tcW w:w="2448" w:type="dxa"/>
          </w:tcPr>
          <w:p w:rsidR="00B74030" w:rsidRDefault="00406097">
            <w:pPr>
              <w:spacing w:before="40" w:after="80" w:line="240" w:lineRule="auto"/>
            </w:pPr>
            <w:r>
              <w:rPr>
                <w:sz w:val="18"/>
              </w:rPr>
              <w:t>0.1594 / 1.5558 / 0.0278</w:t>
            </w:r>
          </w:p>
        </w:tc>
      </w:tr>
      <w:tr w:rsidR="00B74030">
        <w:trPr>
          <w:cantSplit/>
          <w:jc w:val="center"/>
        </w:trPr>
        <w:tc>
          <w:tcPr>
            <w:tcW w:w="2232" w:type="dxa"/>
          </w:tcPr>
          <w:p w:rsidR="00B74030" w:rsidRDefault="00406097">
            <w:pPr>
              <w:spacing w:before="40" w:after="80" w:line="240" w:lineRule="auto"/>
            </w:pPr>
            <w:r>
              <w:rPr>
                <w:sz w:val="18"/>
              </w:rPr>
              <w:t>FN / threat</w:t>
            </w:r>
          </w:p>
        </w:tc>
        <w:tc>
          <w:tcPr>
            <w:tcW w:w="720" w:type="dxa"/>
          </w:tcPr>
          <w:p w:rsidR="00B74030" w:rsidRDefault="00406097">
            <w:pPr>
              <w:spacing w:before="40" w:after="80" w:line="240" w:lineRule="auto"/>
            </w:pPr>
            <w:r>
              <w:rPr>
                <w:sz w:val="18"/>
              </w:rPr>
              <w:t>194</w:t>
            </w:r>
          </w:p>
        </w:tc>
        <w:tc>
          <w:tcPr>
            <w:tcW w:w="936" w:type="dxa"/>
          </w:tcPr>
          <w:p w:rsidR="00B74030" w:rsidRDefault="00406097">
            <w:pPr>
              <w:spacing w:before="40" w:after="80" w:line="240" w:lineRule="auto"/>
            </w:pPr>
            <w:r>
              <w:rPr>
                <w:sz w:val="18"/>
              </w:rPr>
              <w:t>5</w:t>
            </w:r>
          </w:p>
        </w:tc>
        <w:tc>
          <w:tcPr>
            <w:tcW w:w="1656" w:type="dxa"/>
          </w:tcPr>
          <w:p w:rsidR="00B74030" w:rsidRDefault="00406097">
            <w:pPr>
              <w:spacing w:before="40" w:after="80" w:line="240" w:lineRule="auto"/>
            </w:pPr>
            <w:r>
              <w:rPr>
                <w:sz w:val="18"/>
              </w:rPr>
              <w:t>0.1876 / 0.2225</w:t>
            </w:r>
          </w:p>
        </w:tc>
        <w:tc>
          <w:tcPr>
            <w:tcW w:w="2448" w:type="dxa"/>
          </w:tcPr>
          <w:p w:rsidR="00B74030" w:rsidRDefault="00406097">
            <w:pPr>
              <w:spacing w:before="40" w:after="80" w:line="240" w:lineRule="auto"/>
            </w:pPr>
            <w:r>
              <w:rPr>
                <w:sz w:val="18"/>
              </w:rPr>
              <w:t>0.1804 / 0.0009 / 0.0063</w:t>
            </w:r>
          </w:p>
        </w:tc>
      </w:tr>
      <w:tr w:rsidR="00B74030">
        <w:trPr>
          <w:cantSplit/>
          <w:jc w:val="center"/>
        </w:trPr>
        <w:tc>
          <w:tcPr>
            <w:tcW w:w="2232" w:type="dxa"/>
          </w:tcPr>
          <w:p w:rsidR="00B74030" w:rsidRDefault="00406097">
            <w:pPr>
              <w:keepNext/>
              <w:spacing w:before="40" w:after="80" w:line="240" w:lineRule="auto"/>
            </w:pPr>
            <w:r>
              <w:rPr>
                <w:sz w:val="18"/>
              </w:rPr>
              <w:t>TP / threat</w:t>
            </w:r>
          </w:p>
        </w:tc>
        <w:tc>
          <w:tcPr>
            <w:tcW w:w="720" w:type="dxa"/>
          </w:tcPr>
          <w:p w:rsidR="00B74030" w:rsidRDefault="00406097">
            <w:pPr>
              <w:keepNext/>
              <w:spacing w:before="40" w:after="80" w:line="240" w:lineRule="auto"/>
            </w:pPr>
            <w:r>
              <w:rPr>
                <w:sz w:val="18"/>
              </w:rPr>
              <w:t>491</w:t>
            </w:r>
          </w:p>
        </w:tc>
        <w:tc>
          <w:tcPr>
            <w:tcW w:w="936" w:type="dxa"/>
          </w:tcPr>
          <w:p w:rsidR="00B74030" w:rsidRDefault="00406097">
            <w:pPr>
              <w:keepNext/>
              <w:spacing w:before="40" w:after="80" w:line="240" w:lineRule="auto"/>
            </w:pPr>
            <w:r>
              <w:rPr>
                <w:sz w:val="18"/>
              </w:rPr>
              <w:t>5</w:t>
            </w:r>
          </w:p>
        </w:tc>
        <w:tc>
          <w:tcPr>
            <w:tcW w:w="1656" w:type="dxa"/>
          </w:tcPr>
          <w:p w:rsidR="00B74030" w:rsidRDefault="00406097">
            <w:pPr>
              <w:keepNext/>
              <w:spacing w:before="40" w:after="80" w:line="240" w:lineRule="auto"/>
            </w:pPr>
            <w:r>
              <w:rPr>
                <w:sz w:val="18"/>
              </w:rPr>
              <w:t>1.5659 / 0.2051</w:t>
            </w:r>
          </w:p>
        </w:tc>
        <w:tc>
          <w:tcPr>
            <w:tcW w:w="2448" w:type="dxa"/>
          </w:tcPr>
          <w:p w:rsidR="00B74030" w:rsidRDefault="00406097">
            <w:pPr>
              <w:keepNext/>
              <w:spacing w:before="40" w:after="80" w:line="240" w:lineRule="auto"/>
            </w:pPr>
            <w:r>
              <w:rPr>
                <w:sz w:val="18"/>
              </w:rPr>
              <w:t>0.2101 / 1.3399 / 0.0159</w:t>
            </w:r>
          </w:p>
        </w:tc>
      </w:tr>
    </w:tbl>
    <w:p w:rsidR="00B74030" w:rsidRDefault="00406097">
      <w:pPr>
        <w:spacing w:line="240" w:lineRule="auto"/>
      </w:pPr>
      <w:r>
        <w:t>Note. Each example is the middle-scoring session within its source-label/decision group, selected by original raw score. Row numbers denote sorted input order. TP/FP/FN/TN use supplied labels and the original strict q = 0.99 rule; these illustrative cases are not a representative sample or clinical adjudication.</w:t>
      </w:r>
    </w:p>
    <w:p w:rsidR="00B74030" w:rsidRDefault="00406097">
      <w:pPr>
        <w:spacing w:line="240" w:lineRule="auto"/>
      </w:pPr>
      <w:r>
        <w:t>Within-class/client associations were summarised across five seeds. Constant length made its correlations undefined in both five-event held-out nonroutine classes. Recurrence and exclusions can covary with scenario and other inputs; correlations and loss shares do not isolate causes.</w:t>
      </w:r>
    </w:p>
    <w:sectPr w:rsidR="00B74030">
      <w:headerReference w:type="default" r:id="rId13"/>
      <w:footerReference w:type="default" r:id="rId14"/>
      <w:pgSz w:w="11906" w:h="16838"/>
      <w:pgMar w:top="1134" w:right="1134" w:bottom="1134" w:left="2268" w:header="45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41FE" w:rsidRDefault="009941FE">
      <w:pPr>
        <w:spacing w:line="240" w:lineRule="auto"/>
      </w:pPr>
      <w:r>
        <w:separator/>
      </w:r>
    </w:p>
  </w:endnote>
  <w:endnote w:type="continuationSeparator" w:id="0">
    <w:p w:rsidR="009941FE" w:rsidRDefault="00994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B0F5127-740B-4A6E-BA11-DABC4174AB05}"/>
    <w:embedItalic r:id="rId2" w:fontKey="{529C43E9-3859-4807-91EE-25C98870DF72}"/>
  </w:font>
  <w:font w:name="Cambria">
    <w:panose1 w:val="02040503050406030204"/>
    <w:charset w:val="00"/>
    <w:family w:val="roman"/>
    <w:pitch w:val="variable"/>
    <w:sig w:usb0="E00006FF" w:usb1="420024FF" w:usb2="02000000" w:usb3="00000000" w:csb0="0000019F" w:csb1="00000000"/>
    <w:embedRegular r:id="rId3" w:fontKey="{A9347DEE-B775-4224-8D14-F5D4DACC3864}"/>
  </w:font>
  <w:font w:name="Arial">
    <w:panose1 w:val="020B0604020202020204"/>
    <w:charset w:val="00"/>
    <w:family w:val="swiss"/>
    <w:pitch w:val="variable"/>
    <w:sig w:usb0="E0002EFF" w:usb1="C000785B" w:usb2="00000009" w:usb3="00000000" w:csb0="000001FF" w:csb1="00000000"/>
  </w:font>
  <w:font w:name="Gungsuh">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EF028E">
    <w:pPr>
      <w:pBdr>
        <w:top w:val="nil"/>
        <w:left w:val="nil"/>
        <w:bottom w:val="nil"/>
        <w:right w:val="nil"/>
        <w:between w:val="nil"/>
      </w:pBdr>
      <w:tabs>
        <w:tab w:val="center" w:pos="4680"/>
        <w:tab w:val="right" w:pos="9360"/>
      </w:tabs>
      <w:spacing w:line="240" w:lineRule="auto"/>
      <w:jc w:val="right"/>
      <w:rPr>
        <w:color w:val="000000"/>
      </w:rPr>
    </w:pPr>
    <w:r>
      <w:rPr>
        <w:color w:val="000000"/>
        <w:sz w:val="20"/>
        <w:szCs w:val="20"/>
      </w:rPr>
      <w:fldChar w:fldCharType="begin"/>
    </w:r>
    <w:r>
      <w:rPr>
        <w:color w:val="000000"/>
        <w:sz w:val="20"/>
        <w:szCs w:val="20"/>
      </w:rPr>
      <w:instrText>PAGE</w:instrText>
    </w:r>
    <w:r>
      <w:rPr>
        <w:color w:val="000000"/>
        <w:sz w:val="20"/>
        <w:szCs w:val="20"/>
      </w:rPr>
      <w:fldChar w:fldCharType="separate"/>
    </w:r>
    <w:r w:rsidR="009C065B">
      <w:rPr>
        <w:noProof/>
        <w:color w:val="000000"/>
        <w:sz w:val="20"/>
        <w:szCs w:val="20"/>
      </w:rPr>
      <w:t>14</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41FE" w:rsidRDefault="009941FE">
      <w:pPr>
        <w:spacing w:line="240" w:lineRule="auto"/>
      </w:pPr>
      <w:r>
        <w:separator/>
      </w:r>
    </w:p>
  </w:footnote>
  <w:footnote w:type="continuationSeparator" w:id="0">
    <w:p w:rsidR="009941FE" w:rsidRDefault="009941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0BC8" w:rsidRDefault="00870BC8">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BC8"/>
    <w:rsid w:val="00006A84"/>
    <w:rsid w:val="000718AA"/>
    <w:rsid w:val="001C0E69"/>
    <w:rsid w:val="001D2B88"/>
    <w:rsid w:val="00221D91"/>
    <w:rsid w:val="00260EDA"/>
    <w:rsid w:val="002C3402"/>
    <w:rsid w:val="0032786D"/>
    <w:rsid w:val="00383AC9"/>
    <w:rsid w:val="00394560"/>
    <w:rsid w:val="003A518A"/>
    <w:rsid w:val="003E21F2"/>
    <w:rsid w:val="003F4B25"/>
    <w:rsid w:val="00406097"/>
    <w:rsid w:val="00446FFF"/>
    <w:rsid w:val="00530694"/>
    <w:rsid w:val="005475FB"/>
    <w:rsid w:val="00713253"/>
    <w:rsid w:val="00770F1B"/>
    <w:rsid w:val="00814D15"/>
    <w:rsid w:val="00870BC8"/>
    <w:rsid w:val="0089738B"/>
    <w:rsid w:val="00950C7D"/>
    <w:rsid w:val="009941FE"/>
    <w:rsid w:val="009C065B"/>
    <w:rsid w:val="00A5689C"/>
    <w:rsid w:val="00B74030"/>
    <w:rsid w:val="00BA35F8"/>
    <w:rsid w:val="00CA5B14"/>
    <w:rsid w:val="00D65E72"/>
    <w:rsid w:val="00DB7A3A"/>
    <w:rsid w:val="00E323C4"/>
    <w:rsid w:val="00EE4F5A"/>
    <w:rsid w:val="00EF028E"/>
    <w:rsid w:val="00F07C32"/>
    <w:rsid w:val="00F615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7FAAA94-80EA-4269-8010-61F524B5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pPr>
        <w:spacing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pageBreakBefore/>
      <w:spacing w:after="180" w:line="276" w:lineRule="auto"/>
      <w:jc w:val="center"/>
      <w:outlineLvl w:val="0"/>
    </w:pPr>
    <w:rPr>
      <w:b/>
      <w:bCs/>
      <w:sz w:val="28"/>
      <w:szCs w:val="28"/>
    </w:rPr>
  </w:style>
  <w:style w:type="paragraph" w:styleId="Heading2">
    <w:name w:val="heading 2"/>
    <w:basedOn w:val="Normal"/>
    <w:next w:val="Normal"/>
    <w:pPr>
      <w:keepNext/>
      <w:spacing w:before="240" w:after="180" w:line="276" w:lineRule="auto"/>
      <w:outlineLvl w:val="1"/>
    </w:pPr>
    <w:rPr>
      <w:b/>
      <w:bCs/>
    </w:rPr>
  </w:style>
  <w:style w:type="paragraph" w:styleId="Heading3">
    <w:name w:val="heading 3"/>
    <w:basedOn w:val="Normal"/>
    <w:next w:val="Normal"/>
    <w:pPr>
      <w:keepNext/>
      <w:spacing w:before="240" w:after="180" w:line="276" w:lineRule="auto"/>
      <w:outlineLvl w:val="2"/>
    </w:pPr>
    <w:rPr>
      <w:b/>
      <w:bCs/>
    </w:rPr>
  </w:style>
  <w:style w:type="paragraph" w:styleId="Heading4">
    <w:name w:val="heading 4"/>
    <w:basedOn w:val="Normal"/>
    <w:next w:val="Normal"/>
    <w:pPr>
      <w:keepNext/>
      <w:keepLines/>
      <w:spacing w:before="200"/>
      <w:outlineLvl w:val="3"/>
    </w:pPr>
    <w:rPr>
      <w:b/>
      <w:bCs/>
      <w:i/>
      <w:iCs/>
    </w:rPr>
  </w:style>
  <w:style w:type="paragraph" w:styleId="Heading5">
    <w:name w:val="heading 5"/>
    <w:basedOn w:val="Normal"/>
    <w:next w:val="Normal"/>
    <w:pPr>
      <w:keepNext/>
      <w:keepLines/>
      <w:spacing w:before="200"/>
      <w:outlineLvl w:val="4"/>
    </w:pPr>
  </w:style>
  <w:style w:type="paragraph" w:styleId="Heading6">
    <w:name w:val="heading 6"/>
    <w:basedOn w:val="Normal"/>
    <w:next w:val="Normal"/>
    <w:pPr>
      <w:keepNext/>
      <w:keepLines/>
      <w:spacing w:before="200"/>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90" w:type="dxa"/>
        <w:left w:w="90" w:type="dxa"/>
        <w:bottom w:w="90" w:type="dxa"/>
        <w:right w:w="90" w:type="dxa"/>
      </w:tblCellMar>
    </w:tblPr>
  </w:style>
  <w:style w:type="table" w:customStyle="1" w:styleId="afb">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90" w:type="dxa"/>
        <w:left w:w="90" w:type="dxa"/>
        <w:bottom w:w="90" w:type="dxa"/>
        <w:right w:w="90" w:type="dxa"/>
      </w:tblCellMar>
    </w:tblPr>
  </w:style>
  <w:style w:type="paragraph" w:customStyle="1" w:styleId="FrontMatterHeading">
    <w:name w:val="Front Matter Heading"/>
    <w:basedOn w:val="Normal"/>
    <w:pPr>
      <w:keepNext/>
      <w:pageBreakBefore/>
      <w:outlineLvl w:val="0"/>
    </w:pPr>
    <w:rPr>
      <w:b/>
      <w:sz w:val="28"/>
    </w:rPr>
  </w:style>
  <w:style w:type="paragraph" w:customStyle="1" w:styleId="TableCaption">
    <w:name w:val="Table Caption"/>
    <w:basedOn w:val="Normal"/>
    <w:pPr>
      <w:keepNext/>
      <w:spacing w:after="100"/>
    </w:pPr>
    <w:rPr>
      <w:sz w:val="20"/>
    </w:rPr>
  </w:style>
  <w:style w:type="paragraph" w:customStyle="1" w:styleId="FigureCaption">
    <w:name w:val="Figure Caption"/>
    <w:basedOn w:val="Normal"/>
    <w:pPr>
      <w:spacing w:after="100"/>
    </w:pPr>
    <w:rPr>
      <w:sz w:val="20"/>
    </w:rPr>
  </w:style>
  <w:style w:type="paragraph" w:customStyle="1" w:styleId="ArtifactNote">
    <w:name w:val="Artifact Note"/>
    <w:basedOn w:val="Normal"/>
    <w:pPr>
      <w:spacing w:after="120" w:line="240" w:lineRule="auto"/>
    </w:pPr>
    <w:rPr>
      <w:sz w:val="20"/>
    </w:rPr>
  </w:style>
  <w:style w:type="paragraph" w:customStyle="1" w:styleId="TOC11">
    <w:name w:val="TOC 11"/>
    <w:basedOn w:val="Normal"/>
    <w:pPr>
      <w:spacing w:after="40" w:line="240" w:lineRule="auto"/>
    </w:pPr>
    <w:rPr>
      <w:b/>
      <w:sz w:val="22"/>
    </w:rPr>
  </w:style>
  <w:style w:type="paragraph" w:customStyle="1" w:styleId="TOC21">
    <w:name w:val="TOC 21"/>
    <w:basedOn w:val="Normal"/>
    <w:pPr>
      <w:spacing w:after="40" w:line="240" w:lineRule="auto"/>
    </w:pPr>
    <w:rPr>
      <w:sz w:val="21"/>
    </w:rPr>
  </w:style>
  <w:style w:type="paragraph" w:customStyle="1" w:styleId="TOC31">
    <w:name w:val="TOC 31"/>
    <w:basedOn w:val="Normal"/>
    <w:pPr>
      <w:spacing w:after="40" w:line="240" w:lineRule="auto"/>
    </w:pPr>
    <w:rPr>
      <w:sz w:val="21"/>
    </w:rPr>
  </w:style>
  <w:style w:type="paragraph" w:styleId="TOC1">
    <w:name w:val="toc 1"/>
    <w:basedOn w:val="Normal"/>
    <w:next w:val="Normal"/>
    <w:autoRedefine/>
    <w:uiPriority w:val="39"/>
    <w:unhideWhenUsed/>
    <w:rsid w:val="00406097"/>
    <w:pPr>
      <w:spacing w:after="100"/>
    </w:pPr>
  </w:style>
  <w:style w:type="paragraph" w:styleId="TOC2">
    <w:name w:val="toc 2"/>
    <w:basedOn w:val="Normal"/>
    <w:next w:val="Normal"/>
    <w:autoRedefine/>
    <w:uiPriority w:val="39"/>
    <w:unhideWhenUsed/>
    <w:rsid w:val="00406097"/>
    <w:pPr>
      <w:spacing w:after="100"/>
      <w:ind w:left="240"/>
    </w:pPr>
  </w:style>
  <w:style w:type="paragraph" w:styleId="TOC3">
    <w:name w:val="toc 3"/>
    <w:basedOn w:val="Normal"/>
    <w:next w:val="Normal"/>
    <w:autoRedefine/>
    <w:uiPriority w:val="39"/>
    <w:unhideWhenUsed/>
    <w:rsid w:val="00406097"/>
    <w:pPr>
      <w:spacing w:after="100"/>
      <w:ind w:left="480"/>
    </w:pPr>
  </w:style>
  <w:style w:type="paragraph" w:styleId="TOC4">
    <w:name w:val="toc 4"/>
    <w:basedOn w:val="Normal"/>
    <w:next w:val="Normal"/>
    <w:autoRedefine/>
    <w:uiPriority w:val="39"/>
    <w:unhideWhenUsed/>
    <w:rsid w:val="00406097"/>
    <w:pPr>
      <w:bidi/>
      <w:spacing w:after="100" w:line="259" w:lineRule="auto"/>
      <w:ind w:left="660"/>
      <w:jc w:val="left"/>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406097"/>
    <w:pPr>
      <w:bidi/>
      <w:spacing w:after="100" w:line="259" w:lineRule="auto"/>
      <w:ind w:left="880"/>
      <w:jc w:val="left"/>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406097"/>
    <w:pPr>
      <w:bidi/>
      <w:spacing w:after="100" w:line="259"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406097"/>
    <w:pPr>
      <w:bidi/>
      <w:spacing w:after="100" w:line="259"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406097"/>
    <w:pPr>
      <w:bidi/>
      <w:spacing w:after="100" w:line="259"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406097"/>
    <w:pPr>
      <w:bidi/>
      <w:spacing w:after="100" w:line="259" w:lineRule="auto"/>
      <w:ind w:left="1760"/>
      <w:jc w:val="left"/>
    </w:pPr>
    <w:rPr>
      <w:rFonts w:asciiTheme="minorHAnsi" w:eastAsiaTheme="minorEastAsia" w:hAnsiTheme="minorHAnsi" w:cstheme="minorBidi"/>
      <w:sz w:val="22"/>
      <w:szCs w:val="22"/>
      <w:lang w:val="en-US"/>
    </w:rPr>
  </w:style>
  <w:style w:type="character" w:styleId="Hyperlink">
    <w:name w:val="Hyperlink"/>
    <w:basedOn w:val="DefaultParagraphFont"/>
    <w:uiPriority w:val="99"/>
    <w:unhideWhenUsed/>
    <w:rsid w:val="004060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github.com/24211274/ehr-fl-secagg-study/blob/study-artifacts-v1.30/supplementary/Result_Traceability_Evidence.zip"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github.com/24211274/ehr-fl-secagg-study/blob/study-artifacts-v1.30/supplementary/README.md" TargetMode="External"/><Relationship Id="rId12" Type="http://schemas.openxmlformats.org/officeDocument/2006/relationships/hyperlink" Target="https://github.com/24211274/ehr-fl-secagg-study/releases/tag/study-artifacts-v1.30"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24211274/ehr-fl-secagg-study-public/blob/study-artifacts-v1.30/docs/AVAILABILITY.md" TargetMode="External"/><Relationship Id="rId11" Type="http://schemas.openxmlformats.org/officeDocument/2006/relationships/hyperlink" Target="https://github.com/24211274/ehr-fl-secagg-study/blob/study-artifacts-v1.30/supplementary/Supplementary_Diagnostics.zip"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github.com/24211274/ehr-fl-secagg-study/blob/study-artifacts-v1.30/supplementary/README.md" TargetMode="External"/><Relationship Id="rId4" Type="http://schemas.openxmlformats.org/officeDocument/2006/relationships/footnotes" Target="footnotes.xml"/><Relationship Id="rId9" Type="http://schemas.openxmlformats.org/officeDocument/2006/relationships/hyperlink" Target="https://github.com/24211274/ehr-fl-secagg-study/blob/study-artifacts-v1.30/supplementary/ME06_Evidence.zip"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4986</Words>
  <Characters>28425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RNO</dc:creator>
  <cp:lastModifiedBy>RNO</cp:lastModifiedBy>
  <cp:revision>6</cp:revision>
  <dcterms:created xsi:type="dcterms:W3CDTF">2026-10-25T16:23:00Z</dcterms:created>
  <dcterms:modified xsi:type="dcterms:W3CDTF">2026-10-26T11:52:00Z</dcterms:modified>
  <cp:version>1.27</cp:version>
</cp:coreProperties>
</file>