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Decision closure record</w:t>
      </w:r>
    </w:p>
    <w:p>
      <w:pPr>
        <w:pStyle w:val="Subtitle"/>
      </w:pPr>
      <w:r>
        <w:t>Methodology settled for implementation; factual limitations retained</w:t>
      </w:r>
    </w:p>
    <w:p>
      <w:r>
        <w:t>Version 1.1 • Decision date: 9 September 2026</w:t>
      </w:r>
    </w:p>
    <w:p>
      <w:r>
        <w:t>The researcher reported that publication metadata are unavailable and delegated the remaining methodological choices to the assistant. This record resolves P1–P5 within that delegation. It does not invent a new supervisor signature, a public licence, a negative declaration about prior test use, or permission to launch an unverified main release. [L1]</w:t>
      </w:r>
    </w:p>
    <w:p>
      <w:pPr>
        <w:pStyle w:val="Heading1"/>
      </w:pPr>
      <w:r>
        <w:t>1. Fixed study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949"/>
      </w:tblGrid>
      <w:tr>
        <w:trPr>
          <w:tblHeader/>
          <w:cantSplit/>
        </w:trPr>
        <w:tc>
          <w:tcPr>
            <w:tcW w:type="dxa" w:w="1872"/>
            <w:vAlign w:val="top"/>
            <w:shd w:fill="17365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949"/>
            <w:vAlign w:val="top"/>
            <w:shd w:fill="17365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/>
                <w:color w:val="FFFFFF"/>
                <w:sz w:val="19"/>
              </w:rPr>
              <w:t>Decision retained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1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Comparison</w:t>
            </w:r>
          </w:p>
        </w:tc>
        <w:tc>
          <w:tcPr>
            <w:tcW w:type="dxa" w:w="7949"/>
            <w:vAlign w:val="top"/>
            <w:shd w:fill="F1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A: pooled centralised reference; B: Flower FedAvg; C: FedAvg plus SecAgg+ using the accepted local PRG backport.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Data and model</w:t>
            </w:r>
          </w:p>
        </w:tc>
        <w:tc>
          <w:tcPr>
            <w:tcW w:type="dxa" w:w="7949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The existing eleven-table synthetic benchmark; three simulated clients; Reference and controlled Non-IID conditions; input width 119; LSTM 64 → 32 → 64.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1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Training budget</w:t>
            </w:r>
          </w:p>
        </w:tc>
        <w:tc>
          <w:tcPr>
            <w:tcW w:type="dxa" w:w="7949"/>
            <w:vAlign w:val="top"/>
            <w:shd w:fill="F1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30 epochs for A; 30 rounds, one local epoch per round, for B/C. Seeds: 11, 29, 47, 71, 97. Retain AdamW, learning rate 0.001, batch size 64 and all other recorded settings.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Run count and order</w:t>
            </w:r>
          </w:p>
        </w:tc>
        <w:tc>
          <w:tcPr>
            <w:tcW w:type="dxa" w:w="7949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30 planned runs in 10 matched seed-condition blocks. A/B/C order rotates by seed and condition order alternates; the CSV fixes this before execution. This is deterministic, not randomised or perfectly balanced.</w:t>
            </w:r>
          </w:p>
        </w:tc>
      </w:tr>
    </w:tbl>
    <w:p>
      <w:pPr>
        <w:pStyle w:val="Heading1"/>
      </w:pPr>
      <w:r>
        <w:t>2. P1–P5 decisions</w:t>
      </w:r>
    </w:p>
    <w:p>
      <w:r>
        <w:t>P1 — No additional hyperparameter search. Retain the tested model and training budget. Select the trained checkpoint with the lowest routine-validation loss under the inherited rule; never select by final-test performance or reuse pilot-trained weights.</w:t>
      </w:r>
    </w:p>
    <w:p>
      <w:r>
        <w:t>P2 — Use matched seed-level summaries, not the previously proposed custom actor/campaign hierarchical bootstrap. This explicit simplification limits uncertainty claims to variability across runs on the fixed benchmark. The complete analysis rules are on page 3 and in the accompanying plan.</w:t>
      </w:r>
    </w:p>
    <w:p>
      <w:r>
        <w:t>P3 — Report application record-content volume and instrumented execution time. Do not call them total on-wire bytes or pure cryptographic cost; no new packet-capture experiment is added.</w:t>
      </w:r>
    </w:p>
    <w:p>
      <w:r>
        <w:t>P4 — Adopt the bounded application-interface security wording and its trust assumptions, not blanket privacy certification. The local cryptographic build remains unchanged.</w:t>
      </w:r>
    </w:p>
    <w:p>
      <w:r>
        <w:t>P5 — Allow at most one manual restart of an entire matched A/B/C seed-condition block after a documented transient infrastructure fault. Preserve every attempt. Unfavourable metrics, slow completed runs and code/numerical/security failures are not retry criteria.</w:t>
      </w:r>
    </w:p>
    <w:p>
      <w:r>
        <w:br w:type="page"/>
      </w:r>
    </w:p>
    <w:p>
      <w:pPr>
        <w:pStyle w:val="Title"/>
      </w:pPr>
      <w:r>
        <w:t>Provenance and claim boundaries</w:t>
      </w:r>
    </w:p>
    <w:p>
      <w:pPr>
        <w:pStyle w:val="Heading1"/>
      </w:pPr>
      <w:r>
        <w:t>3. Missing information: record it, do not manufacture it</w:t>
      </w:r>
    </w:p>
    <w:p>
      <w:r>
        <w:t>Publication. Repository metadata are unavailable as reported. The actual public-release status is not verified: “unavailable metadata” is not proof of either publication or non-publication. Keep repository URL, version/date, DOI, licence and public creator fields null until supported. Do not adopt the earlier, unrelated Kaggle dataset’s attribution or licence. [L2]</w:t>
      </w:r>
    </w:p>
    <w:p>
      <w:r>
        <w:t>Benchmark wording. Use “researcher-supplied synthetic EHR access-log benchmark with three simulated federated clients”. Do not call it patient records collected from three real hospitals or a verified public Kaggle dataset. The earlier researcher-reported permission to use the benchmark is preserved; it is not evidence of public availability or a new waiver of an exclusively-public-data requirement.</w:t>
      </w:r>
    </w:p>
    <w:p>
      <w:r>
        <w:t>Generator. The reviewed materials do not supply the original generator and configuration. Limit reproducibility to processing/training from the preserved byte-identical files, conditional on access. Original regeneration and unrestricted public reproduction are not demonstrated. Do not reconstruct a new generator and label it the historical one. No CSV is changed by this record. [L2]</w:t>
      </w:r>
    </w:p>
    <w:p>
      <w:r>
        <w:t>Prior test exposure. Structural information about test scenarios, labels, counts and links has previously been inspected. Reviewed pilot reports state that final-test detection scores were not computed, but a complete disclosure of unreported external scoring has not been supplied. Do not record “nobody has seen test results” on the researcher’s behalf. Prospective development choices are now locked; retrospective independence remains qualified. If score-driven prior selection is later confirmed, disclose it and treat affected claims as exploratory. [L1/L2]</w:t>
      </w:r>
    </w:p>
    <w:p>
      <w:pPr>
        <w:pStyle w:val="Heading1"/>
      </w:pPr>
      <w:r>
        <w:t>4. Bounded security statement</w:t>
      </w:r>
    </w:p>
    <w:p>
      <w:r>
        <w:t>Configuration C uses Flower SecAgg+ in local build 1.22.0+mai.prg7570.1 with the documented, attributed mask-generator backport. The intended asset is the individual client’s post-training parameter vector at the prescribed aggregation-message interface. The scope assumes a protocol-following honest-but-curious server, honest non-colluding clients, trusted endpoints/operating system and no hostile network adversary. [L1]</w:t>
      </w:r>
    </w:p>
    <w:p>
      <w:r>
        <w:t>The historical pilot supports functional completion, intended masked-message boundaries and software-identifier checks. It does not establish a cryptographic proof, independent certification or authenticated remote attestation. All three clients are still required in every accepted stage. Do not add server-side plaintext update or individual output-update fingerprint diagnostics to C.</w:t>
      </w:r>
    </w:p>
    <w:p>
      <w:r>
        <w:t>TLS remains outside the previously reported approved scope. No transport-confidentiality or hostile-network-integrity claim is made. Loopback is containment, not TLS. Clients share one trusted host, not mutually isolated institutions. Global models, fixed counts and routine scalar metrics remain visible; preprocessing summaries were combined in plaintext. No differential privacy, clinical validity, poisoning resistance or protection against every inference attack is claimed. [L1]</w:t>
      </w:r>
    </w:p>
    <w:p>
      <w:pPr>
        <w:pStyle w:val="Heading1"/>
      </w:pPr>
      <w:r>
        <w:t>5. Readiness boundary</w:t>
      </w:r>
    </w:p>
    <w:p>
      <w:r>
        <w:t>READY: prepare and verify the executable main runner and evaluator under these decisions. NOT YET AUTHORISED: main training launch, final-test access, public redistribution or a claim of verified public-data compliance. Missing publication metadata do not prevent code preparation, but their limitation must remain visible.</w:t>
      </w:r>
    </w:p>
    <w:p>
      <w:r>
        <w:t>The next implementation must produce main-seed initial states and train-only schedules, verify full-size A in the accepted environment, test calibration/metrics on numerical fixtures, and pin code/configuration hashes. Training authorisation and final-test authorisation remain separate. No repeated P1–P5 confirmation form is required.</w:t>
      </w:r>
    </w:p>
    <w:p>
      <w:r>
        <w:br w:type="page"/>
      </w:r>
    </w:p>
    <w:p>
      <w:pPr>
        <w:pStyle w:val="Title"/>
      </w:pPr>
      <w:r>
        <w:t>Evaluation and hand-off rules</w:t>
      </w:r>
    </w:p>
    <w:p>
      <w:pPr>
        <w:pStyle w:val="Heading1"/>
      </w:pPr>
      <w:r>
        <w:t>6. Preserve calibration and endpoints</w:t>
      </w:r>
    </w:p>
    <w:p>
      <w:r>
        <w:t>Use test_held_out as the primary fixed test partition and test_known as a separate secondary analysis. Threat is positive. Primary outcome: session-level Average Precision (AP). Report AUROC, precision, recall, F1, FPR/FNR, confusion counts and false alerts per 1,000 legitimate sessions with denominators. Do not rebalance tests or imply that AP and trapezoidal PR area are identical. [L1; W3]</w:t>
      </w:r>
    </w:p>
    <w:p>
      <w:r>
        <w:t>Retain per-client calibration from full routine validation only, separately for each configuration, condition and seed: median and robust scale, with the existing MAD/IQR/1.0 fallbacks. Pooled global AP uses client-calibrated scores; raw pooled AP is a named secondary diagnostic. Per-client AP uses raw scores. Do not select the better scoring representation after evaluating the tests.</w:t>
      </w:r>
    </w:p>
    <w:p>
      <w:r>
        <w:t>Alert when the raw session score is strictly above the client’s 0.99 validation quantile. Retain 0.98 and 0.995 as prespecified sensitivity values, not a tuning search. Choose the earliest trained checkpoint when routine-validation losses tie within 1e-12. Store numerical calibration parameters only after model selection, and hash them before final-test evaluation. Test results must not be used to make development choices. [L1; W4]</w:t>
      </w:r>
    </w:p>
    <w:p>
      <w:pPr>
        <w:pStyle w:val="Heading1"/>
      </w:pPr>
      <w:r>
        <w:t>7. Simple paired analysis, with explicit limits</w:t>
      </w:r>
    </w:p>
    <w:p>
      <w:r>
        <w:t>For each condition and test partition, show every seed value, mean, sample standard deviation, median and range. Pair by seed: B−A for RQ1 and C−B for RQ2 detection. Show global, per-client and worst-client AP; retain the worst-client identity and matched per-client differences because two method-specific minima may come from different clients.</w:t>
      </w:r>
    </w:p>
    <w:p>
      <w:r>
        <w:t>For the primary global and worst-client mean AP contrasts only, use the exploratory Student-t interval on the five paired differences d:</w:t>
      </w:r>
    </w:p>
    <w:p>
      <w:pPr>
        <w:pStyle w:val="Caption"/>
      </w:pPr>
      <w:r>
        <w:t>mean(d) ± t(0.975, 4) × SD(d) / √5</w:t>
      </w:r>
    </w:p>
    <w:p>
      <w:r>
        <w:t>This standard formula is applied to paired run differences, not independent sessions. [W1/W2] It assumes independent run differences and approximate normality; five preselected seeds cannot establish those assumptions. The interval concerns algorithmic training/sampling variability conditional on this dataset, not uncertainty over new datasets or hospitals. Present all five differences and do not interpret exclusion of zero as a confirmatory superiority finding.</w:t>
      </w:r>
    </w:p>
    <w:p>
      <w:r>
        <w:t>If any of the five pairs is missing/undefined, suppress that interval and show counts/reasons. If observed SD is zero, report it without a certainty claim. Other metrics remain descriptive. Do not add p-value searches, formal equivalence/non-inferiority claims or a replacement bootstrap after seeing results. The inherited 0.02 AP margin is contextual, not an automatic success criterion.</w:t>
      </w:r>
    </w:p>
    <w:p>
      <w:pPr>
        <w:pStyle w:val="Heading2"/>
      </w:pPr>
      <w:r>
        <w:t>Traceability</w:t>
      </w:r>
    </w:p>
    <w:p>
      <w:r>
        <w:t>L1. EHR_FL_Freeze_Readiness_Review_v1_0.zip: source protocol, P1–P5 proposals and historical evidence index. Archive SHA-256 and authority statement are in review/authority_and_provenance.json. This addendum verified its 52 listed files, not a new set of training experiments.</w:t>
      </w:r>
    </w:p>
    <w:p>
      <w:r>
        <w:t>L2. Preserved S02–S04 source-manifest/generation/licence records; S07 historical structural audit remains in L1. Updated decisions: config/main_protocol_decisions.json. Full statistical and reporting detail: review/Evaluation_and_Analysis_Plan.md and review/Security_and_Reporting_Limits.md.</w:t>
      </w:r>
    </w:p>
    <w:p>
      <w:r>
        <w:t>W1/W2. NIST/SEMATECH e-Handbook §§1.3.5.2–1.3.5.3: mean confidence interval and paired differences. W3/W4. Official scikit-learn AP and common-pitfalls documentation. Consulted 9 September 2026; exact links are in the analysis plan. Documentation use does not authorise updating the pinned software.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65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273"/>
        <w:sz w:val="16"/>
      </w:rPr>
      <w:t xml:space="preserve">Decision record 1.1  |  9 September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36273"/>
        <w:sz w:val="16"/>
      </w:rPr>
      <w:t>MAI  |  EHR FEDERATED ANOMALY DETECTION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EHR FL Decision Closure Record 1.1</dc:title>
  <dc:subject>Delegated methodological decisions; preserved factual limitations</dc:subject>
  <dc:creator/>
  <cp:keywords>federated learning; decision closure; pilot; provenance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