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864"/>
          <w:sz w:val="32"/>
          <w:szCs w:val="32"/>
        </w:rPr>
        <w:t xml:space="preserve">STUDI KASUS MULTI-SUMBER</w:t>
      </w:r>
    </w:p>
    <w:p>
      <w:pPr>
        <w:spacing w:after="300"/>
        <w:jc w:val="center"/>
      </w:pPr>
      <w:r>
        <w:rPr>
          <w:b/>
          <w:bCs/>
          <w:color w:val="1F3864"/>
          <w:sz w:val="24"/>
          <w:szCs w:val="24"/>
        </w:rPr>
        <w:t xml:space="preserve">Analisis 7 Komponen Tata Kelola — Serangan Ransomware “The Gentlemen” terhadap Institusi di Indonesia (2025)</w:t>
      </w:r>
    </w:p>
    <w:p>
      <w:pPr>
        <w:spacing w:after="150"/>
      </w:pPr>
      <w:r>
        <w:rPr>
          <w:b w:val="false"/>
          <w:bCs w:val="false"/>
          <w:i/>
          <w:iCs/>
          <w:sz w:val="21"/>
          <w:szCs w:val="21"/>
        </w:rPr>
        <w:t xml:space="preserve">Mata Kuliah Audit Sistem Informasi (IS904) — Program Studi Sistem Informasi, Institut Sains dan Bisnis Atma Luhur</w:t>
      </w:r>
    </w:p>
    <w:p>
      <w:pPr>
        <w:spacing w:after="150"/>
      </w:pPr>
      <w:r>
        <w:rPr>
          <w:b w:val="false"/>
          <w:bCs w:val="false"/>
          <w:i w:val="false"/>
          <w:iCs w:val="false"/>
          <w:sz w:val="21"/>
          <w:szCs w:val="21"/>
        </w:rPr>
        <w:t xml:space="preserve">Dokumen ini disusun dari 6 sumber (berita nasional, threat-intelligence tracker, dan advisory teknis) untuk menganalisis serangan kelompok ransomware “The Gentlemen” yang pada 2025 dilaporkan menjerat tiga institusi di Indonesia: perusahaan otomotif, perusahaan logistik, dan satu BUMN di sektor produksi pupuk (teridentifikasi sebagai PT Pupuk Iskandar Muda). Dibandingkan dengan analisis bersumber tunggal, penggunaan banyak sumber di sini memperdalam bukti pada komponen Informasi dan Layanan/Infrastruktur serta pada Design Factor Threat Landscape — namun TIDAK secara otomatis mengisi seluruh 7 komponen, karena empat komponen (Struktur, Kebijakan, Budaya, Orang) tetap bergantung pada pernyataan resmi pihak korban yang belum tersedia secara publik.</w:t>
      </w:r>
    </w:p>
    <w:p>
      <w:pPr>
        <w:pStyle w:val="Heading2"/>
        <w:spacing w:after="100" w:before="200"/>
      </w:pPr>
      <w:r>
        <w:rPr>
          <w:b/>
          <w:bCs/>
          <w:color w:val="1F3864"/>
          <w:sz w:val="22"/>
          <w:szCs w:val="22"/>
        </w:rPr>
        <w:t xml:space="preserve">Identitas (Contoh)</w:t>
      </w:r>
    </w:p>
    <w:p>
      <w:pPr>
        <w:spacing w:after="150"/>
      </w:pPr>
      <w:r>
        <w:rPr>
          <w:b w:val="false"/>
          <w:bCs w:val="false"/>
          <w:i w:val="false"/>
          <w:iCs w:val="false"/>
          <w:sz w:val="21"/>
          <w:szCs w:val="21"/>
        </w:rPr>
        <w:t xml:space="preserve">Nama / Kelompok: (isi nama Anda di sini)</w:t>
      </w:r>
    </w:p>
    <w:p>
      <w:pPr>
        <w:spacing w:after="150"/>
      </w:pPr>
      <w:r>
        <w:rPr>
          <w:b w:val="false"/>
          <w:bCs w:val="false"/>
          <w:i w:val="false"/>
          <w:iCs w:val="false"/>
          <w:sz w:val="21"/>
          <w:szCs w:val="21"/>
        </w:rPr>
        <w:t xml:space="preserve">Studi Kasus: Serangan Ransomware The Gentlemen — PT Pupuk Iskandar Muda, serta korban otomotif &amp; logistik di Indonesia (2025)</w:t>
      </w:r>
    </w:p>
    <w:p>
      <w:pPr>
        <w:spacing w:after="150"/>
      </w:pPr>
      <w:r>
        <w:rPr>
          <w:b w:val="false"/>
          <w:bCs w:val="false"/>
          <w:i w:val="false"/>
          <w:iCs w:val="false"/>
          <w:sz w:val="21"/>
          <w:szCs w:val="21"/>
        </w:rPr>
        <w:t xml:space="preserve">Sumber: 6 sumber — lihat Bagian 0</w:t>
      </w:r>
    </w:p>
    <w:p>
      <w:pPr>
        <w:pStyle w:val="Heading1"/>
        <w:spacing w:after="150" w:before="300"/>
      </w:pPr>
      <w:r>
        <w:rPr>
          <w:b/>
          <w:bCs/>
          <w:color w:val="1F3864"/>
          <w:sz w:val="26"/>
          <w:szCs w:val="26"/>
        </w:rPr>
        <w:t xml:space="preserve">0. Uji Kecukupan Sumber</w:t>
      </w:r>
    </w:p>
    <w:p>
      <w:pPr>
        <w:pStyle w:val="Heading2"/>
        <w:spacing w:after="100" w:before="200"/>
      </w:pPr>
      <w:r>
        <w:rPr>
          <w:b/>
          <w:bCs/>
          <w:color w:val="1F3864"/>
          <w:sz w:val="22"/>
          <w:szCs w:val="22"/>
        </w:rPr>
        <w:t xml:space="preserve">Daftar Sumber yang Digunakan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5450"/>
        <w:gridCol w:w="2200"/>
        <w:gridCol w:w="1000"/>
      </w:tblGrid>
      <w:tr>
        <w:tc>
          <w:tcPr>
            <w:tcW w:type="dxa" w:w="700"/>
            <w:shd w:fill="1F3864" w:val="clear"/>
          </w:tcPr>
          <w:p>
            <w:r>
              <w:rPr>
                <w:b/>
                <w:bCs/>
                <w:color w:val="FFFFFF"/>
                <w:sz w:val="20"/>
                <w:szCs w:val="20"/>
              </w:rPr>
              <w:t xml:space="preserve">No</w:t>
            </w:r>
          </w:p>
        </w:tc>
        <w:tc>
          <w:tcPr>
            <w:tcW w:type="dxa" w:w="5450"/>
            <w:shd w:fill="1F3864" w:val="clear"/>
          </w:tcPr>
          <w:p>
            <w:r>
              <w:rPr>
                <w:b/>
                <w:bCs/>
                <w:color w:val="FFFFFF"/>
                <w:sz w:val="20"/>
                <w:szCs w:val="20"/>
              </w:rPr>
              <w:t xml:space="preserve">Judul / Deskripsi Sumber</w:t>
            </w:r>
          </w:p>
        </w:tc>
        <w:tc>
          <w:tcPr>
            <w:tcW w:type="dxa" w:w="2200"/>
            <w:shd w:fill="1F3864" w:val="clear"/>
          </w:tcPr>
          <w:p>
            <w:r>
              <w:rPr>
                <w:b/>
                <w:bCs/>
                <w:color w:val="FFFFFF"/>
                <w:sz w:val="20"/>
                <w:szCs w:val="20"/>
              </w:rPr>
              <w:t xml:space="preserve">Penerbit</w:t>
            </w:r>
          </w:p>
        </w:tc>
        <w:tc>
          <w:tcPr>
            <w:tcW w:type="dxa" w:w="1000"/>
            <w:shd w:fill="1F3864" w:val="clear"/>
          </w:tcPr>
          <w:p>
            <w:r>
              <w:rPr>
                <w:b/>
                <w:bCs/>
                <w:color w:val="FFFFFF"/>
                <w:sz w:val="20"/>
                <w:szCs w:val="20"/>
              </w:rPr>
              <w:t xml:space="preserve">Tanggal</w:t>
            </w:r>
          </w:p>
        </w:tc>
      </w:tr>
      <w:tr>
        <w:tc>
          <w:tcPr>
            <w:tcW w:type="dxa" w:w="700"/>
          </w:tcPr>
          <w:p>
            <w:r>
              <w:rPr>
                <w:b w:val="false"/>
                <w:bCs w:val="false"/>
                <w:color w:val="000000"/>
                <w:sz w:val="20"/>
                <w:szCs w:val="20"/>
              </w:rPr>
              <w:t xml:space="preserve">1</w:t>
            </w:r>
          </w:p>
        </w:tc>
        <w:tc>
          <w:tcPr>
            <w:tcW w:type="dxa" w:w="5450"/>
          </w:tcPr>
          <w:p>
            <w:r>
              <w:rPr>
                <w:b w:val="false"/>
                <w:bCs w:val="false"/>
                <w:color w:val="000000"/>
                <w:sz w:val="20"/>
                <w:szCs w:val="20"/>
              </w:rPr>
              <w:t xml:space="preserve">Deretan Ransomware Paling Berbahaya di Indonesia Selama 2025 (menyebut 3 institusi korban The Gentlemen: otomotif, logistik, BUMN sektor pupuk)</w:t>
            </w:r>
          </w:p>
        </w:tc>
        <w:tc>
          <w:tcPr>
            <w:tcW w:type="dxa" w:w="2200"/>
          </w:tcPr>
          <w:p>
            <w:r>
              <w:rPr>
                <w:b w:val="false"/>
                <w:bCs w:val="false"/>
                <w:color w:val="000000"/>
                <w:sz w:val="20"/>
                <w:szCs w:val="20"/>
              </w:rPr>
              <w:t xml:space="preserve">detikInet</w:t>
            </w:r>
          </w:p>
        </w:tc>
        <w:tc>
          <w:tcPr>
            <w:tcW w:type="dxa" w:w="1000"/>
          </w:tcPr>
          <w:p>
            <w:r>
              <w:rPr>
                <w:b w:val="false"/>
                <w:bCs w:val="false"/>
                <w:color w:val="000000"/>
                <w:sz w:val="20"/>
                <w:szCs w:val="20"/>
              </w:rPr>
              <w:t xml:space="preserve">26 Nov 2025</w:t>
            </w:r>
          </w:p>
        </w:tc>
      </w:tr>
      <w:tr>
        <w:tc>
          <w:tcPr>
            <w:tcW w:type="dxa" w:w="700"/>
            <w:shd w:fill="F2F2F2" w:val="clear"/>
          </w:tcPr>
          <w:p>
            <w:r>
              <w:rPr>
                <w:b w:val="false"/>
                <w:bCs w:val="false"/>
                <w:color w:val="000000"/>
                <w:sz w:val="20"/>
                <w:szCs w:val="20"/>
              </w:rPr>
              <w:t xml:space="preserve">2</w:t>
            </w:r>
          </w:p>
        </w:tc>
        <w:tc>
          <w:tcPr>
            <w:tcW w:type="dxa" w:w="5450"/>
            <w:shd w:fill="F2F2F2" w:val="clear"/>
          </w:tcPr>
          <w:p>
            <w:r>
              <w:rPr>
                <w:b w:val="false"/>
                <w:bCs w:val="false"/>
                <w:color w:val="000000"/>
                <w:sz w:val="20"/>
                <w:szCs w:val="20"/>
              </w:rPr>
              <w:t xml:space="preserve">The Gentlemen — Ransomware Tracker (profil kelompok, metode ekstorsi, enkripsi, daftar korban)</w:t>
            </w:r>
          </w:p>
        </w:tc>
        <w:tc>
          <w:tcPr>
            <w:tcW w:type="dxa" w:w="2200"/>
            <w:shd w:fill="F2F2F2" w:val="clear"/>
          </w:tcPr>
          <w:p>
            <w:r>
              <w:rPr>
                <w:b w:val="false"/>
                <w:bCs w:val="false"/>
                <w:color w:val="000000"/>
                <w:sz w:val="20"/>
                <w:szCs w:val="20"/>
              </w:rPr>
              <w:t xml:space="preserve">WatchGuard Security Hub</w:t>
            </w:r>
          </w:p>
        </w:tc>
        <w:tc>
          <w:tcPr>
            <w:tcW w:type="dxa" w:w="1000"/>
            <w:shd w:fill="F2F2F2" w:val="clear"/>
          </w:tcPr>
          <w:p>
            <w:r>
              <w:rPr>
                <w:b w:val="false"/>
                <w:bCs w:val="false"/>
                <w:color w:val="000000"/>
                <w:sz w:val="20"/>
                <w:szCs w:val="20"/>
              </w:rPr>
              <w:t xml:space="preserve">diakses 2026</w:t>
            </w:r>
          </w:p>
        </w:tc>
      </w:tr>
      <w:tr>
        <w:tc>
          <w:tcPr>
            <w:tcW w:type="dxa" w:w="700"/>
          </w:tcPr>
          <w:p>
            <w:r>
              <w:rPr>
                <w:b w:val="false"/>
                <w:bCs w:val="false"/>
                <w:color w:val="000000"/>
                <w:sz w:val="20"/>
                <w:szCs w:val="20"/>
              </w:rPr>
              <w:t xml:space="preserve">3</w:t>
            </w:r>
          </w:p>
        </w:tc>
        <w:tc>
          <w:tcPr>
            <w:tcW w:type="dxa" w:w="5450"/>
          </w:tcPr>
          <w:p>
            <w:r>
              <w:rPr>
                <w:b w:val="false"/>
                <w:bCs w:val="false"/>
                <w:color w:val="000000"/>
                <w:sz w:val="20"/>
                <w:szCs w:val="20"/>
              </w:rPr>
              <w:t xml:space="preserve">The Gentlemen Ransomware — profil teknis serangan (Storm-2697, teknik lateral movement, TTP)</w:t>
            </w:r>
          </w:p>
        </w:tc>
        <w:tc>
          <w:tcPr>
            <w:tcW w:type="dxa" w:w="2200"/>
          </w:tcPr>
          <w:p>
            <w:r>
              <w:rPr>
                <w:b w:val="false"/>
                <w:bCs w:val="false"/>
                <w:color w:val="000000"/>
                <w:sz w:val="20"/>
                <w:szCs w:val="20"/>
              </w:rPr>
              <w:t xml:space="preserve">ManageEngine / Microsoft Threat Intelligence</w:t>
            </w:r>
          </w:p>
        </w:tc>
        <w:tc>
          <w:tcPr>
            <w:tcW w:type="dxa" w:w="1000"/>
          </w:tcPr>
          <w:p>
            <w:r>
              <w:rPr>
                <w:b w:val="false"/>
                <w:bCs w:val="false"/>
                <w:color w:val="000000"/>
                <w:sz w:val="20"/>
                <w:szCs w:val="20"/>
              </w:rPr>
              <w:t xml:space="preserve">diperbarui 20 Jul 2026</w:t>
            </w:r>
          </w:p>
        </w:tc>
      </w:tr>
      <w:tr>
        <w:tc>
          <w:tcPr>
            <w:tcW w:type="dxa" w:w="700"/>
            <w:shd w:fill="F2F2F2" w:val="clear"/>
          </w:tcPr>
          <w:p>
            <w:r>
              <w:rPr>
                <w:b w:val="false"/>
                <w:bCs w:val="false"/>
                <w:color w:val="000000"/>
                <w:sz w:val="20"/>
                <w:szCs w:val="20"/>
              </w:rPr>
              <w:t xml:space="preserve">4</w:t>
            </w:r>
          </w:p>
        </w:tc>
        <w:tc>
          <w:tcPr>
            <w:tcW w:type="dxa" w:w="5450"/>
            <w:shd w:fill="F2F2F2" w:val="clear"/>
          </w:tcPr>
          <w:p>
            <w:r>
              <w:rPr>
                <w:b w:val="false"/>
                <w:bCs w:val="false"/>
                <w:color w:val="000000"/>
                <w:sz w:val="20"/>
                <w:szCs w:val="20"/>
              </w:rPr>
              <w:t xml:space="preserve">PT Pupuk Iskandar Muda — Ransomware Victim Profile</w:t>
            </w:r>
          </w:p>
        </w:tc>
        <w:tc>
          <w:tcPr>
            <w:tcW w:type="dxa" w:w="2200"/>
            <w:shd w:fill="F2F2F2" w:val="clear"/>
          </w:tcPr>
          <w:p>
            <w:r>
              <w:rPr>
                <w:b w:val="false"/>
                <w:bCs w:val="false"/>
                <w:color w:val="000000"/>
                <w:sz w:val="20"/>
                <w:szCs w:val="20"/>
              </w:rPr>
              <w:t xml:space="preserve">SOCRadar / Ransomware.live</w:t>
            </w:r>
          </w:p>
        </w:tc>
        <w:tc>
          <w:tcPr>
            <w:tcW w:type="dxa" w:w="1000"/>
            <w:shd w:fill="F2F2F2" w:val="clear"/>
          </w:tcPr>
          <w:p>
            <w:r>
              <w:rPr>
                <w:b w:val="false"/>
                <w:bCs w:val="false"/>
                <w:color w:val="000000"/>
                <w:sz w:val="20"/>
                <w:szCs w:val="20"/>
              </w:rPr>
              <w:t xml:space="preserve">ditemukan 22 Okt 2025</w:t>
            </w:r>
          </w:p>
        </w:tc>
      </w:tr>
      <w:tr>
        <w:tc>
          <w:tcPr>
            <w:tcW w:type="dxa" w:w="700"/>
          </w:tcPr>
          <w:p>
            <w:r>
              <w:rPr>
                <w:b w:val="false"/>
                <w:bCs w:val="false"/>
                <w:color w:val="000000"/>
                <w:sz w:val="20"/>
                <w:szCs w:val="20"/>
              </w:rPr>
              <w:t xml:space="preserve">5</w:t>
            </w:r>
          </w:p>
        </w:tc>
        <w:tc>
          <w:tcPr>
            <w:tcW w:type="dxa" w:w="5450"/>
          </w:tcPr>
          <w:p>
            <w:r>
              <w:rPr>
                <w:b w:val="false"/>
                <w:bCs w:val="false"/>
                <w:color w:val="000000"/>
                <w:sz w:val="20"/>
                <w:szCs w:val="20"/>
              </w:rPr>
              <w:t xml:space="preserve">Serangan Ransomware ke UMKM Indonesia Lebih Tinggi Dibandingkan Negara Kawasan (data Kaspersky ttg taktik The Gentlemen)</w:t>
            </w:r>
          </w:p>
        </w:tc>
        <w:tc>
          <w:tcPr>
            <w:tcW w:type="dxa" w:w="2200"/>
          </w:tcPr>
          <w:p>
            <w:r>
              <w:rPr>
                <w:b w:val="false"/>
                <w:bCs w:val="false"/>
                <w:color w:val="000000"/>
                <w:sz w:val="20"/>
                <w:szCs w:val="20"/>
              </w:rPr>
              <w:t xml:space="preserve">Bisnis.com (teknologi.bisnis.com)</w:t>
            </w:r>
          </w:p>
        </w:tc>
        <w:tc>
          <w:tcPr>
            <w:tcW w:type="dxa" w:w="1000"/>
          </w:tcPr>
          <w:p>
            <w:r>
              <w:rPr>
                <w:b w:val="false"/>
                <w:bCs w:val="false"/>
                <w:color w:val="000000"/>
                <w:sz w:val="20"/>
                <w:szCs w:val="20"/>
              </w:rPr>
              <w:t xml:space="preserve">13 Jul 2026</w:t>
            </w:r>
          </w:p>
        </w:tc>
      </w:tr>
      <w:tr>
        <w:tc>
          <w:tcPr>
            <w:tcW w:type="dxa" w:w="700"/>
            <w:shd w:fill="F2F2F2" w:val="clear"/>
          </w:tcPr>
          <w:p>
            <w:r>
              <w:rPr>
                <w:b w:val="false"/>
                <w:bCs w:val="false"/>
                <w:color w:val="000000"/>
                <w:sz w:val="20"/>
                <w:szCs w:val="20"/>
              </w:rPr>
              <w:t xml:space="preserve">6</w:t>
            </w:r>
          </w:p>
        </w:tc>
        <w:tc>
          <w:tcPr>
            <w:tcW w:type="dxa" w:w="5450"/>
            <w:shd w:fill="F2F2F2" w:val="clear"/>
          </w:tcPr>
          <w:p>
            <w:r>
              <w:rPr>
                <w:b w:val="false"/>
                <w:bCs w:val="false"/>
                <w:color w:val="000000"/>
                <w:sz w:val="20"/>
                <w:szCs w:val="20"/>
              </w:rPr>
              <w:t xml:space="preserve">The Gentlemen Ransomware: A Rapidly Scaling RaaS Threat (advisory ancaman, model afiliasi, linimasa)</w:t>
            </w:r>
          </w:p>
        </w:tc>
        <w:tc>
          <w:tcPr>
            <w:tcW w:type="dxa" w:w="2200"/>
            <w:shd w:fill="F2F2F2" w:val="clear"/>
          </w:tcPr>
          <w:p>
            <w:r>
              <w:rPr>
                <w:b w:val="false"/>
                <w:bCs w:val="false"/>
                <w:color w:val="000000"/>
                <w:sz w:val="20"/>
                <w:szCs w:val="20"/>
              </w:rPr>
              <w:t xml:space="preserve">HivePro Threat Advisory (TA2026114)</w:t>
            </w:r>
          </w:p>
        </w:tc>
        <w:tc>
          <w:tcPr>
            <w:tcW w:type="dxa" w:w="1000"/>
            <w:shd w:fill="F2F2F2" w:val="clear"/>
          </w:tcPr>
          <w:p>
            <w:r>
              <w:rPr>
                <w:b w:val="false"/>
                <w:bCs w:val="false"/>
                <w:color w:val="000000"/>
                <w:sz w:val="20"/>
                <w:szCs w:val="20"/>
              </w:rPr>
              <w:t xml:space="preserve">24 Apr 2026</w:t>
            </w:r>
          </w:p>
        </w:tc>
      </w:tr>
    </w:tbl>
    <w:p>
      <w:pPr>
        <w:spacing w:before="200"/>
      </w:pPr>
    </w:p>
    <w:p>
      <w:pPr>
        <w:pStyle w:val="Heading2"/>
        <w:spacing w:after="100" w:before="200"/>
      </w:pPr>
      <w:r>
        <w:rPr>
          <w:b/>
          <w:bCs/>
          <w:color w:val="1F3864"/>
          <w:sz w:val="22"/>
          <w:szCs w:val="22"/>
        </w:rPr>
        <w:t xml:space="preserve">Peta Kecukupan Informasi per Komponen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750"/>
      </w:tblGrid>
      <w:tr>
        <w:tc>
          <w:tcPr>
            <w:tcW w:type="dxa" w:w="2100"/>
            <w:shd w:fill="1F3864" w:val="clear"/>
          </w:tcPr>
          <w:p>
            <w:r>
              <w:rPr>
                <w:b/>
                <w:bCs/>
                <w:color w:val="FFFFFF"/>
                <w:sz w:val="20"/>
                <w:szCs w:val="20"/>
              </w:rPr>
              <w:t xml:space="preserve">Komponen</w:t>
            </w:r>
          </w:p>
        </w:tc>
        <w:tc>
          <w:tcPr>
            <w:tcW w:type="dxa" w:w="1500"/>
            <w:shd w:fill="1F3864" w:val="clear"/>
          </w:tcPr>
          <w:p>
            <w:r>
              <w:rPr>
                <w:b/>
                <w:bCs/>
                <w:color w:val="FFFFFF"/>
                <w:sz w:val="20"/>
                <w:szCs w:val="20"/>
              </w:rPr>
              <w:t xml:space="preserve">Ada Petunjuk?</w:t>
            </w:r>
          </w:p>
        </w:tc>
        <w:tc>
          <w:tcPr>
            <w:tcW w:type="dxa" w:w="5750"/>
            <w:shd w:fill="1F3864" w:val="clear"/>
          </w:tcPr>
          <w:p>
            <w:r>
              <w:rPr>
                <w:b/>
                <w:bCs/>
                <w:color w:val="FFFFFF"/>
                <w:sz w:val="20"/>
                <w:szCs w:val="20"/>
              </w:rPr>
              <w:t xml:space="preserve">Sumber Mana yang Mendukung?</w:t>
            </w:r>
          </w:p>
        </w:tc>
      </w:tr>
      <w:tr>
        <w:tc>
          <w:tcPr>
            <w:tcW w:type="dxa" w:w="2100"/>
          </w:tcPr>
          <w:p>
            <w:r>
              <w:rPr>
                <w:b w:val="false"/>
                <w:bCs w:val="false"/>
                <w:color w:val="000000"/>
                <w:sz w:val="20"/>
                <w:szCs w:val="20"/>
              </w:rPr>
              <w:t xml:space="preserve">Proses</w:t>
            </w:r>
          </w:p>
        </w:tc>
        <w:tc>
          <w:tcPr>
            <w:tcW w:type="dxa" w:w="1500"/>
          </w:tcPr>
          <w:p>
            <w:r>
              <w:rPr>
                <w:b w:val="false"/>
                <w:bCs w:val="false"/>
                <w:color w:val="000000"/>
                <w:sz w:val="20"/>
                <w:szCs w:val="20"/>
              </w:rPr>
              <w:t xml:space="preserve">Ya (proses pihak penyerang)</w:t>
            </w:r>
          </w:p>
        </w:tc>
        <w:tc>
          <w:tcPr>
            <w:tcW w:type="dxa" w:w="5750"/>
          </w:tcPr>
          <w:p>
            <w:r>
              <w:rPr>
                <w:b w:val="false"/>
                <w:bCs w:val="false"/>
                <w:color w:val="000000"/>
                <w:sz w:val="20"/>
                <w:szCs w:val="20"/>
              </w:rPr>
              <w:t xml:space="preserve">Sumber 2 &amp; 3 menjelaskan rantai serangan cukup rinci: akses awal via edge device/SSL-VPN rentan, penyebaran mandiri dgn 21 teknik eksekusi jarak jauh (PsExec, WMIC, WinRM, scheduled task), lalu mematikan Defender &amp; backup sebelum enkripsi. Catatan: ini proses SISI PENYERANG, bukan SOP tanggap insiden internal korban — sehingga tidak bisa dipakai menilai kematangan proses tata kelola PIM/otomotif/logistik itu sendiri.</w:t>
            </w:r>
          </w:p>
        </w:tc>
      </w:tr>
      <w:tr>
        <w:tc>
          <w:tcPr>
            <w:tcW w:type="dxa" w:w="2100"/>
            <w:shd w:fill="F2F2F2" w:val="clear"/>
          </w:tcPr>
          <w:p>
            <w:r>
              <w:rPr>
                <w:b w:val="false"/>
                <w:bCs w:val="false"/>
                <w:color w:val="000000"/>
                <w:sz w:val="20"/>
                <w:szCs w:val="20"/>
              </w:rPr>
              <w:t xml:space="preserve">Struktur Organisasi</w:t>
            </w:r>
          </w:p>
        </w:tc>
        <w:tc>
          <w:tcPr>
            <w:tcW w:type="dxa" w:w="1500"/>
            <w:shd w:fill="F2F2F2" w:val="clear"/>
          </w:tcPr>
          <w:p>
            <w:r>
              <w:rPr>
                <w:b w:val="false"/>
                <w:bCs w:val="false"/>
                <w:color w:val="000000"/>
                <w:sz w:val="20"/>
                <w:szCs w:val="20"/>
              </w:rPr>
              <w:t xml:space="preserve">Tidak</w:t>
            </w:r>
          </w:p>
        </w:tc>
        <w:tc>
          <w:tcPr>
            <w:tcW w:type="dxa" w:w="5750"/>
            <w:shd w:fill="F2F2F2" w:val="clear"/>
          </w:tcPr>
          <w:p>
            <w:r>
              <w:rPr>
                <w:b w:val="false"/>
                <w:bCs w:val="false"/>
                <w:color w:val="000000"/>
                <w:sz w:val="20"/>
                <w:szCs w:val="20"/>
              </w:rPr>
              <w:t xml:space="preserve">Tidak ada satu pun sumber yang memuat pernyataan resmi, nama unit keamanan informasi, atau struktur tim insiden dari pihak PIM, perusahaan otomotif, maupun logistik yang menjadi korban. Berbeda dari kasus BSI yang punya pernyataan Dirut secara publik.</w:t>
            </w:r>
          </w:p>
        </w:tc>
      </w:tr>
      <w:tr>
        <w:tc>
          <w:tcPr>
            <w:tcW w:type="dxa" w:w="2100"/>
          </w:tcPr>
          <w:p>
            <w:r>
              <w:rPr>
                <w:b w:val="false"/>
                <w:bCs w:val="false"/>
                <w:color w:val="000000"/>
                <w:sz w:val="20"/>
                <w:szCs w:val="20"/>
              </w:rPr>
              <w:t xml:space="preserve">Prinsip, Kebijakan &amp; Kerangka Kerja</w:t>
            </w:r>
          </w:p>
        </w:tc>
        <w:tc>
          <w:tcPr>
            <w:tcW w:type="dxa" w:w="1500"/>
          </w:tcPr>
          <w:p>
            <w:r>
              <w:rPr>
                <w:b w:val="false"/>
                <w:bCs w:val="false"/>
                <w:color w:val="000000"/>
                <w:sz w:val="20"/>
                <w:szCs w:val="20"/>
              </w:rPr>
              <w:t xml:space="preserve">Tidak</w:t>
            </w:r>
          </w:p>
        </w:tc>
        <w:tc>
          <w:tcPr>
            <w:tcW w:type="dxa" w:w="5750"/>
          </w:tcPr>
          <w:p>
            <w:r>
              <w:rPr>
                <w:b w:val="false"/>
                <w:bCs w:val="false"/>
                <w:color w:val="000000"/>
                <w:sz w:val="20"/>
                <w:szCs w:val="20"/>
              </w:rPr>
              <w:t xml:space="preserve">Belum ditemukan rilis resmi korban ttg kebijakan disclosure insiden, kerangka keamanan informasi (mis. ISO 27001/SNI), atau kronologi pengakuan insiden dari pihak PIM/otomotif/logistik.</w:t>
            </w:r>
          </w:p>
        </w:tc>
      </w:tr>
      <w:tr>
        <w:tc>
          <w:tcPr>
            <w:tcW w:type="dxa" w:w="2100"/>
            <w:shd w:fill="F2F2F2" w:val="clear"/>
          </w:tcPr>
          <w:p>
            <w:r>
              <w:rPr>
                <w:b w:val="false"/>
                <w:bCs w:val="false"/>
                <w:color w:val="000000"/>
                <w:sz w:val="20"/>
                <w:szCs w:val="20"/>
              </w:rPr>
              <w:t xml:space="preserve">Informasi</w:t>
            </w:r>
          </w:p>
        </w:tc>
        <w:tc>
          <w:tcPr>
            <w:tcW w:type="dxa" w:w="1500"/>
            <w:shd w:fill="F2F2F2" w:val="clear"/>
          </w:tcPr>
          <w:p>
            <w:r>
              <w:rPr>
                <w:b w:val="false"/>
                <w:bCs w:val="false"/>
                <w:color w:val="000000"/>
                <w:sz w:val="20"/>
                <w:szCs w:val="20"/>
              </w:rPr>
              <w:t xml:space="preserve">Ya</w:t>
            </w:r>
          </w:p>
        </w:tc>
        <w:tc>
          <w:tcPr>
            <w:tcW w:type="dxa" w:w="5750"/>
            <w:shd w:fill="F2F2F2" w:val="clear"/>
          </w:tcPr>
          <w:p>
            <w:r>
              <w:rPr>
                <w:b w:val="false"/>
                <w:bCs w:val="false"/>
                <w:color w:val="000000"/>
                <w:sz w:val="20"/>
                <w:szCs w:val="20"/>
              </w:rPr>
              <w:t xml:space="preserve">Sumber 1 merinci jenis data yang dicuri kelompok The Gentlemen dari korban di Indonesia: data produksi, dokumen manufaktur, memo internal, notulen rapat direksi, negosiasi bisnis, kontrak, MOU, dan data kapasitas produksi — data ini disebarkan setelah korban menolak membayar.</w:t>
            </w:r>
          </w:p>
        </w:tc>
      </w:tr>
      <w:tr>
        <w:tc>
          <w:tcPr>
            <w:tcW w:type="dxa" w:w="2100"/>
          </w:tcPr>
          <w:p>
            <w:r>
              <w:rPr>
                <w:b w:val="false"/>
                <w:bCs w:val="false"/>
                <w:color w:val="000000"/>
                <w:sz w:val="20"/>
                <w:szCs w:val="20"/>
              </w:rPr>
              <w:t xml:space="preserve">Budaya, Etika &amp; Perilaku</w:t>
            </w:r>
          </w:p>
        </w:tc>
        <w:tc>
          <w:tcPr>
            <w:tcW w:type="dxa" w:w="1500"/>
          </w:tcPr>
          <w:p>
            <w:r>
              <w:rPr>
                <w:b w:val="false"/>
                <w:bCs w:val="false"/>
                <w:color w:val="000000"/>
                <w:sz w:val="20"/>
                <w:szCs w:val="20"/>
              </w:rPr>
              <w:t xml:space="preserve">Tidak</w:t>
            </w:r>
          </w:p>
        </w:tc>
        <w:tc>
          <w:tcPr>
            <w:tcW w:type="dxa" w:w="5750"/>
          </w:tcPr>
          <w:p>
            <w:r>
              <w:rPr>
                <w:b w:val="false"/>
                <w:bCs w:val="false"/>
                <w:color w:val="000000"/>
                <w:sz w:val="20"/>
                <w:szCs w:val="20"/>
              </w:rPr>
              <w:t xml:space="preserve">Tidak ada indikasi tekstual mengenai budaya/perilaku internal organisasi korban (mis. pola respons, transparansi ke publik) karena tidak ada pernyataan resmi yang bisa dianalisis polanya.</w:t>
            </w:r>
          </w:p>
        </w:tc>
      </w:tr>
      <w:tr>
        <w:tc>
          <w:tcPr>
            <w:tcW w:type="dxa" w:w="2100"/>
            <w:shd w:fill="F2F2F2" w:val="clear"/>
          </w:tcPr>
          <w:p>
            <w:r>
              <w:rPr>
                <w:b w:val="false"/>
                <w:bCs w:val="false"/>
                <w:color w:val="000000"/>
                <w:sz w:val="20"/>
                <w:szCs w:val="20"/>
              </w:rPr>
              <w:t xml:space="preserve">Orang, Keahlian &amp; Kompetensi</w:t>
            </w:r>
          </w:p>
        </w:tc>
        <w:tc>
          <w:tcPr>
            <w:tcW w:type="dxa" w:w="1500"/>
            <w:shd w:fill="F2F2F2" w:val="clear"/>
          </w:tcPr>
          <w:p>
            <w:r>
              <w:rPr>
                <w:b w:val="false"/>
                <w:bCs w:val="false"/>
                <w:color w:val="000000"/>
                <w:sz w:val="20"/>
                <w:szCs w:val="20"/>
              </w:rPr>
              <w:t xml:space="preserve">Tidak</w:t>
            </w:r>
          </w:p>
        </w:tc>
        <w:tc>
          <w:tcPr>
            <w:tcW w:type="dxa" w:w="5750"/>
            <w:shd w:fill="F2F2F2" w:val="clear"/>
          </w:tcPr>
          <w:p>
            <w:r>
              <w:rPr>
                <w:b w:val="false"/>
                <w:bCs w:val="false"/>
                <w:color w:val="000000"/>
                <w:sz w:val="20"/>
                <w:szCs w:val="20"/>
              </w:rPr>
              <w:t xml:space="preserve">Tidak ada info tentang tim IT/keamanan informasi internal korban, kompetensi staf, atau siapa yang menangani insiden secara teknis di pihak PIM/otomotif/logistik.</w:t>
            </w:r>
          </w:p>
        </w:tc>
      </w:tr>
      <w:tr>
        <w:tc>
          <w:tcPr>
            <w:tcW w:type="dxa" w:w="2100"/>
          </w:tcPr>
          <w:p>
            <w:r>
              <w:rPr>
                <w:b w:val="false"/>
                <w:bCs w:val="false"/>
                <w:color w:val="000000"/>
                <w:sz w:val="20"/>
                <w:szCs w:val="20"/>
              </w:rPr>
              <w:t xml:space="preserve">Layanan, Infrastruktur &amp; Aplikasi</w:t>
            </w:r>
          </w:p>
        </w:tc>
        <w:tc>
          <w:tcPr>
            <w:tcW w:type="dxa" w:w="1500"/>
          </w:tcPr>
          <w:p>
            <w:r>
              <w:rPr>
                <w:b w:val="false"/>
                <w:bCs w:val="false"/>
                <w:color w:val="000000"/>
                <w:sz w:val="20"/>
                <w:szCs w:val="20"/>
              </w:rPr>
              <w:t xml:space="preserve">Ya</w:t>
            </w:r>
          </w:p>
        </w:tc>
        <w:tc>
          <w:tcPr>
            <w:tcW w:type="dxa" w:w="5750"/>
          </w:tcPr>
          <w:p>
            <w:r>
              <w:rPr>
                <w:b w:val="false"/>
                <w:bCs w:val="false"/>
                <w:color w:val="000000"/>
                <w:sz w:val="20"/>
                <w:szCs w:val="20"/>
              </w:rPr>
              <w:t xml:space="preserve">Sumber 2 &amp; 3 menyebut titik masuk melalui perangkat edge (SSL-VPN, FortiOS/FortiProxy — termasuk celah CVE-2024-55591), lalu penyebaran ke seluruh jaringan lewat layanan Windows standar (WinRM, WMI, scheduled task). Sumber 4 mengonfirmasi PT Pupuk Iskandar Muda (manufaktur/BUMN pupuk) sebagai korban terverifikasi pada basis data pelacak ransomware.</w:t>
            </w:r>
          </w:p>
        </w:tc>
      </w:tr>
    </w:tbl>
    <w:p>
      <w:pPr>
        <w:spacing w:after="150" w:before="200"/>
      </w:pPr>
      <w:r>
        <w:rPr>
          <w:b/>
          <w:bCs/>
          <w:sz w:val="21"/>
          <w:szCs w:val="21"/>
        </w:rPr>
        <w:t xml:space="preserve">Hasil: </w:t>
      </w:r>
      <w:r>
        <w:rPr>
          <w:sz w:val="21"/>
          <w:szCs w:val="21"/>
        </w:rPr>
        <w:t xml:space="preserve">3 dari 7 komponen menunjukkan “Ya” (Proses [sisi penyerang], Informasi, Layanan/Infrastruktur). Jumlah ini SAMA dengan contoh bersumber tunggal, tetapi kedalaman buktinya jauh lebih kuat karena dikonfirmasi silang oleh beberapa sumber independen (berita nasional, threat-intel tracker, dan advisory teknis). Ini adalah poin penting: menambah sumber tidak otomatis menambah jumlah komponen yang terisi — yang bertambah adalah kekuatan triangulasi bukti pada komponen yang memang didukung data.</w:t>
      </w:r>
    </w:p>
    <w:p>
      <w:pPr>
        <w:pStyle w:val="Heading1"/>
        <w:spacing w:after="150" w:before="300"/>
      </w:pPr>
      <w:r>
        <w:rPr>
          <w:b/>
          <w:bCs/>
          <w:color w:val="1F3864"/>
          <w:sz w:val="26"/>
          <w:szCs w:val="26"/>
        </w:rPr>
        <w:t xml:space="preserve">1. Analisis 7 Komponen Tata Kelola</w:t>
      </w:r>
    </w:p>
    <w:p>
      <w:pPr>
        <w:spacing w:after="150"/>
      </w:pPr>
      <w:r>
        <w:rPr>
          <w:b w:val="false"/>
          <w:bCs w:val="false"/>
          <w:i w:val="false"/>
          <w:iCs w:val="false"/>
          <w:sz w:val="21"/>
          <w:szCs w:val="21"/>
        </w:rPr>
        <w:t xml:space="preserve">Empat komponen (Struktur Organisasi, Kebijakan, Budaya, Orang) tetap ditulis “tidak ditemukan pada sumber” karena memang tidak ada rilis resmi dari pihak korban di Indonesia yang bisa dianalisis — bukan karena kurangnya jumlah sumber, melainkan karena jenis sumber yang tersedia (berita &amp; threat-intel) secara struktural tidak memuat informasi tata kelola internal korban.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4000"/>
        <w:gridCol w:w="2950"/>
      </w:tblGrid>
      <w:tr>
        <w:tc>
          <w:tcPr>
            <w:tcW w:type="dxa" w:w="500"/>
            <w:shd w:fill="1F3864" w:val="clear"/>
          </w:tcPr>
          <w:p>
            <w:r>
              <w:rPr>
                <w:b/>
                <w:bCs/>
                <w:color w:val="FFFFFF"/>
                <w:sz w:val="20"/>
                <w:szCs w:val="20"/>
              </w:rPr>
              <w:t xml:space="preserve">No</w:t>
            </w:r>
          </w:p>
        </w:tc>
        <w:tc>
          <w:tcPr>
            <w:tcW w:type="dxa" w:w="1900"/>
            <w:shd w:fill="1F3864" w:val="clear"/>
          </w:tcPr>
          <w:p>
            <w:r>
              <w:rPr>
                <w:b/>
                <w:bCs/>
                <w:color w:val="FFFFFF"/>
                <w:sz w:val="20"/>
                <w:szCs w:val="20"/>
              </w:rPr>
              <w:t xml:space="preserve">Komponen</w:t>
            </w:r>
          </w:p>
        </w:tc>
        <w:tc>
          <w:tcPr>
            <w:tcW w:type="dxa" w:w="4000"/>
            <w:shd w:fill="1F3864" w:val="clear"/>
          </w:tcPr>
          <w:p>
            <w:r>
              <w:rPr>
                <w:b/>
                <w:bCs/>
                <w:color w:val="FFFFFF"/>
                <w:sz w:val="20"/>
                <w:szCs w:val="20"/>
              </w:rPr>
              <w:t xml:space="preserve">Temuan</w:t>
            </w:r>
          </w:p>
        </w:tc>
        <w:tc>
          <w:tcPr>
            <w:tcW w:type="dxa" w:w="2950"/>
            <w:shd w:fill="1F3864" w:val="clear"/>
          </w:tcPr>
          <w:p>
            <w:r>
              <w:rPr>
                <w:b/>
                <w:bCs/>
                <w:color w:val="FFFFFF"/>
                <w:sz w:val="20"/>
                <w:szCs w:val="20"/>
              </w:rPr>
              <w:t xml:space="preserve">Dampak</w:t>
            </w:r>
          </w:p>
        </w:tc>
      </w:tr>
      <w:tr>
        <w:tc>
          <w:tcPr>
            <w:tcW w:type="dxa" w:w="500"/>
          </w:tcPr>
          <w:p>
            <w:r>
              <w:rPr>
                <w:b w:val="false"/>
                <w:bCs w:val="false"/>
                <w:color w:val="000000"/>
                <w:sz w:val="20"/>
                <w:szCs w:val="20"/>
              </w:rPr>
              <w:t xml:space="preserve">1</w:t>
            </w:r>
          </w:p>
        </w:tc>
        <w:tc>
          <w:tcPr>
            <w:tcW w:type="dxa" w:w="1900"/>
          </w:tcPr>
          <w:p>
            <w:r>
              <w:rPr>
                <w:b w:val="false"/>
                <w:bCs w:val="false"/>
                <w:color w:val="000000"/>
                <w:sz w:val="20"/>
                <w:szCs w:val="20"/>
              </w:rPr>
              <w:t xml:space="preserve">Proses</w:t>
            </w:r>
          </w:p>
        </w:tc>
        <w:tc>
          <w:tcPr>
            <w:tcW w:type="dxa" w:w="4000"/>
          </w:tcPr>
          <w:p>
            <w:r>
              <w:rPr>
                <w:b w:val="false"/>
                <w:bCs w:val="false"/>
                <w:color w:val="000000"/>
                <w:sz w:val="20"/>
                <w:szCs w:val="20"/>
              </w:rPr>
              <w:t xml:space="preserve">Rantai serangan The Gentlemen: eksploitasi akses awal (edge device/SSL-VPN rentan, kredensial curian dari Initial Access Broker) → penyebaran mandiri (worm) via 21 teknik eksekusi jarak jauh → penonaktifan Defender, penghapusan shadow copy &amp; log → enkripsi ganda (double extortion).</w:t>
            </w:r>
          </w:p>
        </w:tc>
        <w:tc>
          <w:tcPr>
            <w:tcW w:type="dxa" w:w="2950"/>
          </w:tcPr>
          <w:p>
            <w:r>
              <w:rPr>
                <w:b w:val="false"/>
                <w:bCs w:val="false"/>
                <w:color w:val="000000"/>
                <w:sz w:val="20"/>
                <w:szCs w:val="20"/>
              </w:rPr>
              <w:t xml:space="preserve">Menunjukkan pola serangan sangat sistematis &amp; dapat direplikasi lintas korban; namun sumber tidak memberi bukti apakah PIM/korban lain memiliki proses deteksi-respons internal yang memadai — celah ini tetap perlu sumber tambahan (rilis resmi korban).</w:t>
            </w:r>
          </w:p>
        </w:tc>
      </w:tr>
      <w:tr>
        <w:tc>
          <w:tcPr>
            <w:tcW w:type="dxa" w:w="500"/>
            <w:shd w:fill="F2F2F2" w:val="clear"/>
          </w:tcPr>
          <w:p>
            <w:r>
              <w:rPr>
                <w:b w:val="false"/>
                <w:bCs w:val="false"/>
                <w:color w:val="000000"/>
                <w:sz w:val="20"/>
                <w:szCs w:val="20"/>
              </w:rPr>
              <w:t xml:space="preserve">2</w:t>
            </w:r>
          </w:p>
        </w:tc>
        <w:tc>
          <w:tcPr>
            <w:tcW w:type="dxa" w:w="1900"/>
            <w:shd w:fill="F2F2F2" w:val="clear"/>
          </w:tcPr>
          <w:p>
            <w:r>
              <w:rPr>
                <w:b w:val="false"/>
                <w:bCs w:val="false"/>
                <w:color w:val="000000"/>
                <w:sz w:val="20"/>
                <w:szCs w:val="20"/>
              </w:rPr>
              <w:t xml:space="preserve">Struktur Organisasi</w:t>
            </w:r>
          </w:p>
        </w:tc>
        <w:tc>
          <w:tcPr>
            <w:tcW w:type="dxa" w:w="4000"/>
            <w:shd w:fill="F2F2F2" w:val="clear"/>
          </w:tcPr>
          <w:p>
            <w:r>
              <w:rPr>
                <w:b w:val="false"/>
                <w:bCs w:val="false"/>
                <w:color w:val="000000"/>
                <w:sz w:val="20"/>
                <w:szCs w:val="20"/>
              </w:rPr>
              <w:t xml:space="preserve">Tidak ditemukan pada sumber manapun mengenai unit/tim keamanan informasi internal korban Indonesia.</w:t>
            </w:r>
          </w:p>
        </w:tc>
        <w:tc>
          <w:tcPr>
            <w:tcW w:type="dxa" w:w="2950"/>
            <w:shd w:fill="F2F2F2" w:val="clear"/>
          </w:tcPr>
          <w:p>
            <w:r>
              <w:rPr>
                <w:b w:val="false"/>
                <w:bCs w:val="false"/>
                <w:color w:val="000000"/>
                <w:sz w:val="20"/>
                <w:szCs w:val="20"/>
              </w:rPr>
              <w:t xml:space="preserve">Tidak dapat dinilai — perlu sumber tambahan berupa pernyataan resmi korban atau laporan investigasi BSSN/Kominfo.</w:t>
            </w:r>
          </w:p>
        </w:tc>
      </w:tr>
      <w:tr>
        <w:tc>
          <w:tcPr>
            <w:tcW w:type="dxa" w:w="500"/>
          </w:tcPr>
          <w:p>
            <w:r>
              <w:rPr>
                <w:b w:val="false"/>
                <w:bCs w:val="false"/>
                <w:color w:val="000000"/>
                <w:sz w:val="20"/>
                <w:szCs w:val="20"/>
              </w:rPr>
              <w:t xml:space="preserve">3</w:t>
            </w:r>
          </w:p>
        </w:tc>
        <w:tc>
          <w:tcPr>
            <w:tcW w:type="dxa" w:w="1900"/>
          </w:tcPr>
          <w:p>
            <w:r>
              <w:rPr>
                <w:b w:val="false"/>
                <w:bCs w:val="false"/>
                <w:color w:val="000000"/>
                <w:sz w:val="20"/>
                <w:szCs w:val="20"/>
              </w:rPr>
              <w:t xml:space="preserve">Prinsip, Kebijakan &amp; Kerangka Kerja</w:t>
            </w:r>
          </w:p>
        </w:tc>
        <w:tc>
          <w:tcPr>
            <w:tcW w:type="dxa" w:w="4000"/>
          </w:tcPr>
          <w:p>
            <w:r>
              <w:rPr>
                <w:b w:val="false"/>
                <w:bCs w:val="false"/>
                <w:color w:val="000000"/>
                <w:sz w:val="20"/>
                <w:szCs w:val="20"/>
              </w:rPr>
              <w:t xml:space="preserve">Tidak ditemukan kronologi pengakuan insiden atau kebijakan disclosure dari pihak korban di Indonesia (berbeda dari kasus BSI yang punya jeda 5 hari antara "pemeliharaan sistem" dan pengakuan insiden).</w:t>
            </w:r>
          </w:p>
        </w:tc>
        <w:tc>
          <w:tcPr>
            <w:tcW w:type="dxa" w:w="2950"/>
          </w:tcPr>
          <w:p>
            <w:r>
              <w:rPr>
                <w:b w:val="false"/>
                <w:bCs w:val="false"/>
                <w:color w:val="000000"/>
                <w:sz w:val="20"/>
                <w:szCs w:val="20"/>
              </w:rPr>
              <w:t xml:space="preserve">Tidak dapat dinilai — indikasi transparansi insiden korban belum bisa disimpulkan dari sumber yang ada.</w:t>
            </w:r>
          </w:p>
        </w:tc>
      </w:tr>
      <w:tr>
        <w:tc>
          <w:tcPr>
            <w:tcW w:type="dxa" w:w="500"/>
            <w:shd w:fill="F2F2F2" w:val="clear"/>
          </w:tcPr>
          <w:p>
            <w:r>
              <w:rPr>
                <w:b w:val="false"/>
                <w:bCs w:val="false"/>
                <w:color w:val="000000"/>
                <w:sz w:val="20"/>
                <w:szCs w:val="20"/>
              </w:rPr>
              <w:t xml:space="preserve">4</w:t>
            </w:r>
          </w:p>
        </w:tc>
        <w:tc>
          <w:tcPr>
            <w:tcW w:type="dxa" w:w="1900"/>
            <w:shd w:fill="F2F2F2" w:val="clear"/>
          </w:tcPr>
          <w:p>
            <w:r>
              <w:rPr>
                <w:b w:val="false"/>
                <w:bCs w:val="false"/>
                <w:color w:val="000000"/>
                <w:sz w:val="20"/>
                <w:szCs w:val="20"/>
              </w:rPr>
              <w:t xml:space="preserve">Informasi</w:t>
            </w:r>
          </w:p>
        </w:tc>
        <w:tc>
          <w:tcPr>
            <w:tcW w:type="dxa" w:w="4000"/>
            <w:shd w:fill="F2F2F2" w:val="clear"/>
          </w:tcPr>
          <w:p>
            <w:r>
              <w:rPr>
                <w:b w:val="false"/>
                <w:bCs w:val="false"/>
                <w:color w:val="000000"/>
                <w:sz w:val="20"/>
                <w:szCs w:val="20"/>
              </w:rPr>
              <w:t xml:space="preserve">Data yang dicuri &amp; diancam disebarkan: data produksi, dokumen manufaktur, memo internal, notulen rapat direksi, kontrak, MOU, dan rahasia kapasitas produksi.</w:t>
            </w:r>
          </w:p>
        </w:tc>
        <w:tc>
          <w:tcPr>
            <w:tcW w:type="dxa" w:w="2950"/>
            <w:shd w:fill="F2F2F2" w:val="clear"/>
          </w:tcPr>
          <w:p>
            <w:r>
              <w:rPr>
                <w:b w:val="false"/>
                <w:bCs w:val="false"/>
                <w:color w:val="000000"/>
                <w:sz w:val="20"/>
                <w:szCs w:val="20"/>
              </w:rPr>
              <w:t xml:space="preserve">Menunjukkan data strategis &amp; rahasia dagang ikut menjadi sasaran, bukan hanya data pelanggan — berpotensi merugikan posisi bisnis dan negosiasi korban di masa depan.</w:t>
            </w:r>
          </w:p>
        </w:tc>
      </w:tr>
      <w:tr>
        <w:tc>
          <w:tcPr>
            <w:tcW w:type="dxa" w:w="500"/>
          </w:tcPr>
          <w:p>
            <w:r>
              <w:rPr>
                <w:b w:val="false"/>
                <w:bCs w:val="false"/>
                <w:color w:val="000000"/>
                <w:sz w:val="20"/>
                <w:szCs w:val="20"/>
              </w:rPr>
              <w:t xml:space="preserve">5</w:t>
            </w:r>
          </w:p>
        </w:tc>
        <w:tc>
          <w:tcPr>
            <w:tcW w:type="dxa" w:w="1900"/>
          </w:tcPr>
          <w:p>
            <w:r>
              <w:rPr>
                <w:b w:val="false"/>
                <w:bCs w:val="false"/>
                <w:color w:val="000000"/>
                <w:sz w:val="20"/>
                <w:szCs w:val="20"/>
              </w:rPr>
              <w:t xml:space="preserve">Budaya, Etika &amp; Perilaku</w:t>
            </w:r>
          </w:p>
        </w:tc>
        <w:tc>
          <w:tcPr>
            <w:tcW w:type="dxa" w:w="4000"/>
          </w:tcPr>
          <w:p>
            <w:r>
              <w:rPr>
                <w:b w:val="false"/>
                <w:bCs w:val="false"/>
                <w:color w:val="000000"/>
                <w:sz w:val="20"/>
                <w:szCs w:val="20"/>
              </w:rPr>
              <w:t xml:space="preserve">Tidak ditemukan pada sumber (tidak ada pola komunikasi publik dari korban yang bisa dianalisis).</w:t>
            </w:r>
          </w:p>
        </w:tc>
        <w:tc>
          <w:tcPr>
            <w:tcW w:type="dxa" w:w="2950"/>
          </w:tcPr>
          <w:p>
            <w:r>
              <w:rPr>
                <w:b w:val="false"/>
                <w:bCs w:val="false"/>
                <w:color w:val="000000"/>
                <w:sz w:val="20"/>
                <w:szCs w:val="20"/>
              </w:rPr>
              <w:t xml:space="preserve">Tidak dapat dinilai — perlu pola berulang/rilis resmi dari sumber lain.</w:t>
            </w:r>
          </w:p>
        </w:tc>
      </w:tr>
      <w:tr>
        <w:tc>
          <w:tcPr>
            <w:tcW w:type="dxa" w:w="500"/>
            <w:shd w:fill="F2F2F2" w:val="clear"/>
          </w:tcPr>
          <w:p>
            <w:r>
              <w:rPr>
                <w:b w:val="false"/>
                <w:bCs w:val="false"/>
                <w:color w:val="000000"/>
                <w:sz w:val="20"/>
                <w:szCs w:val="20"/>
              </w:rPr>
              <w:t xml:space="preserve">6</w:t>
            </w:r>
          </w:p>
        </w:tc>
        <w:tc>
          <w:tcPr>
            <w:tcW w:type="dxa" w:w="1900"/>
            <w:shd w:fill="F2F2F2" w:val="clear"/>
          </w:tcPr>
          <w:p>
            <w:r>
              <w:rPr>
                <w:b w:val="false"/>
                <w:bCs w:val="false"/>
                <w:color w:val="000000"/>
                <w:sz w:val="20"/>
                <w:szCs w:val="20"/>
              </w:rPr>
              <w:t xml:space="preserve">Orang, Keahlian &amp; Kompetensi</w:t>
            </w:r>
          </w:p>
        </w:tc>
        <w:tc>
          <w:tcPr>
            <w:tcW w:type="dxa" w:w="4000"/>
            <w:shd w:fill="F2F2F2" w:val="clear"/>
          </w:tcPr>
          <w:p>
            <w:r>
              <w:rPr>
                <w:b w:val="false"/>
                <w:bCs w:val="false"/>
                <w:color w:val="000000"/>
                <w:sz w:val="20"/>
                <w:szCs w:val="20"/>
              </w:rPr>
              <w:t xml:space="preserve">Tidak ditemukan pada sumber.</w:t>
            </w:r>
          </w:p>
        </w:tc>
        <w:tc>
          <w:tcPr>
            <w:tcW w:type="dxa" w:w="2950"/>
            <w:shd w:fill="F2F2F2" w:val="clear"/>
          </w:tcPr>
          <w:p>
            <w:r>
              <w:rPr>
                <w:b w:val="false"/>
                <w:bCs w:val="false"/>
                <w:color w:val="000000"/>
                <w:sz w:val="20"/>
                <w:szCs w:val="20"/>
              </w:rPr>
              <w:t xml:space="preserve">Tidak dapat dinilai — perlu sumber tambahan ttg tim IT/keamanan internal korban.</w:t>
            </w:r>
          </w:p>
        </w:tc>
      </w:tr>
      <w:tr>
        <w:tc>
          <w:tcPr>
            <w:tcW w:type="dxa" w:w="500"/>
          </w:tcPr>
          <w:p>
            <w:r>
              <w:rPr>
                <w:b w:val="false"/>
                <w:bCs w:val="false"/>
                <w:color w:val="000000"/>
                <w:sz w:val="20"/>
                <w:szCs w:val="20"/>
              </w:rPr>
              <w:t xml:space="preserve">7</w:t>
            </w:r>
          </w:p>
        </w:tc>
        <w:tc>
          <w:tcPr>
            <w:tcW w:type="dxa" w:w="1900"/>
          </w:tcPr>
          <w:p>
            <w:r>
              <w:rPr>
                <w:b w:val="false"/>
                <w:bCs w:val="false"/>
                <w:color w:val="000000"/>
                <w:sz w:val="20"/>
                <w:szCs w:val="20"/>
              </w:rPr>
              <w:t xml:space="preserve">Layanan, Infrastruktur &amp; Aplikasi</w:t>
            </w:r>
          </w:p>
        </w:tc>
        <w:tc>
          <w:tcPr>
            <w:tcW w:type="dxa" w:w="4000"/>
          </w:tcPr>
          <w:p>
            <w:r>
              <w:rPr>
                <w:b w:val="false"/>
                <w:bCs w:val="false"/>
                <w:color w:val="000000"/>
                <w:sz w:val="20"/>
                <w:szCs w:val="20"/>
              </w:rPr>
              <w:t xml:space="preserve">Titik masuk melalui perangkat edge (SSL-VPN, FortiOS/FortiProxy — celah CVE-2024-55591), lalu penyebaran ke seluruh jaringan via layanan Windows (WinRM, WMI, scheduled task, PsExec). PT Pupuk Iskandar Muda terverifikasi sebagai korban pada basis data pelacak ransomware independen (kategori manufaktur).</w:t>
            </w:r>
          </w:p>
        </w:tc>
        <w:tc>
          <w:tcPr>
            <w:tcW w:type="dxa" w:w="2950"/>
          </w:tcPr>
          <w:p>
            <w:r>
              <w:rPr>
                <w:b w:val="false"/>
                <w:bCs w:val="false"/>
                <w:color w:val="000000"/>
                <w:sz w:val="20"/>
                <w:szCs w:val="20"/>
              </w:rPr>
              <w:t xml:space="preserve">Menunjukkan kerentanan pada infrastruktur jaringan/edge device yang menghubungkan sistem produksi korban ke internet — celah teknis yang jelas dan bisa jadi rekomendasi mitigasi konkret.</w:t>
            </w:r>
          </w:p>
        </w:tc>
      </w:tr>
    </w:tbl>
    <w:p>
      <w:pPr>
        <w:pStyle w:val="Heading1"/>
        <w:spacing w:after="150" w:before="300"/>
      </w:pPr>
      <w:r>
        <w:rPr>
          <w:b/>
          <w:bCs/>
          <w:color w:val="1F3864"/>
          <w:sz w:val="26"/>
          <w:szCs w:val="26"/>
        </w:rPr>
        <w:t xml:space="preserve">2. Design Factors Dominan</w:t>
      </w:r>
    </w:p>
    <w:p>
      <w:pPr>
        <w:spacing w:after="150"/>
      </w:pPr>
      <w:r>
        <w:rPr>
          <w:b w:val="false"/>
          <w:bCs w:val="false"/>
          <w:i w:val="false"/>
          <w:iCs w:val="false"/>
          <w:sz w:val="21"/>
          <w:szCs w:val="21"/>
        </w:rPr>
        <w:t xml:space="preserve">Dari 11 Design Factors COBIT, tiga berikut memiliki bukti tekstual kuat dan konsisten lintas sumber: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2450"/>
        <w:gridCol w:w="6400"/>
      </w:tblGrid>
      <w:tr>
        <w:tc>
          <w:tcPr>
            <w:tcW w:type="dxa" w:w="500"/>
            <w:shd w:fill="1F3864" w:val="clear"/>
          </w:tcPr>
          <w:p>
            <w:r>
              <w:rPr>
                <w:b/>
                <w:bCs/>
                <w:color w:val="FFFFFF"/>
                <w:sz w:val="20"/>
                <w:szCs w:val="20"/>
              </w:rPr>
              <w:t xml:space="preserve">No</w:t>
            </w:r>
          </w:p>
        </w:tc>
        <w:tc>
          <w:tcPr>
            <w:tcW w:type="dxa" w:w="2450"/>
            <w:shd w:fill="1F3864" w:val="clear"/>
          </w:tcPr>
          <w:p>
            <w:r>
              <w:rPr>
                <w:b/>
                <w:bCs/>
                <w:color w:val="FFFFFF"/>
                <w:sz w:val="20"/>
                <w:szCs w:val="20"/>
              </w:rPr>
              <w:t xml:space="preserve">Design Factor Dominan</w:t>
            </w:r>
          </w:p>
        </w:tc>
        <w:tc>
          <w:tcPr>
            <w:tcW w:type="dxa" w:w="6400"/>
            <w:shd w:fill="1F3864" w:val="clear"/>
          </w:tcPr>
          <w:p>
            <w:r>
              <w:rPr>
                <w:b/>
                <w:bCs/>
                <w:color w:val="FFFFFF"/>
                <w:sz w:val="20"/>
                <w:szCs w:val="20"/>
              </w:rPr>
              <w:t xml:space="preserve">Alasan / Justifikasi</w:t>
            </w:r>
          </w:p>
        </w:tc>
      </w:tr>
      <w:tr>
        <w:tc>
          <w:tcPr>
            <w:tcW w:type="dxa" w:w="500"/>
          </w:tcPr>
          <w:p>
            <w:r>
              <w:rPr>
                <w:b w:val="false"/>
                <w:bCs w:val="false"/>
                <w:color w:val="000000"/>
                <w:sz w:val="20"/>
                <w:szCs w:val="20"/>
              </w:rPr>
              <w:t xml:space="preserve">1</w:t>
            </w:r>
          </w:p>
        </w:tc>
        <w:tc>
          <w:tcPr>
            <w:tcW w:type="dxa" w:w="2450"/>
          </w:tcPr>
          <w:p>
            <w:r>
              <w:rPr>
                <w:b w:val="false"/>
                <w:bCs w:val="false"/>
                <w:color w:val="000000"/>
                <w:sz w:val="20"/>
                <w:szCs w:val="20"/>
              </w:rPr>
              <w:t xml:space="preserve">I&amp;T-Related Issues (DF4)</w:t>
            </w:r>
          </w:p>
        </w:tc>
        <w:tc>
          <w:tcPr>
            <w:tcW w:type="dxa" w:w="6400"/>
          </w:tcPr>
          <w:p>
            <w:r>
              <w:rPr>
                <w:b w:val="false"/>
                <w:bCs w:val="false"/>
                <w:color w:val="000000"/>
                <w:sz w:val="20"/>
                <w:szCs w:val="20"/>
              </w:rPr>
              <w:t xml:space="preserve">Inti dari seluruh kasus: gangguan operasional &amp; pencurian data akibat serangan ransomware pada tiga institusi berbeda (otomotif, logistik, BUMN pupuk). Didukung konsisten oleh Sumber 1, 4, dan konfirmasi teknis Sumber 2 &amp; 3.</w:t>
            </w:r>
          </w:p>
        </w:tc>
      </w:tr>
      <w:tr>
        <w:tc>
          <w:tcPr>
            <w:tcW w:type="dxa" w:w="500"/>
            <w:shd w:fill="F2F2F2" w:val="clear"/>
          </w:tcPr>
          <w:p>
            <w:r>
              <w:rPr>
                <w:b w:val="false"/>
                <w:bCs w:val="false"/>
                <w:color w:val="000000"/>
                <w:sz w:val="20"/>
                <w:szCs w:val="20"/>
              </w:rPr>
              <w:t xml:space="preserve">2</w:t>
            </w:r>
          </w:p>
        </w:tc>
        <w:tc>
          <w:tcPr>
            <w:tcW w:type="dxa" w:w="2450"/>
            <w:shd w:fill="F2F2F2" w:val="clear"/>
          </w:tcPr>
          <w:p>
            <w:r>
              <w:rPr>
                <w:b w:val="false"/>
                <w:bCs w:val="false"/>
                <w:color w:val="000000"/>
                <w:sz w:val="20"/>
                <w:szCs w:val="20"/>
              </w:rPr>
              <w:t xml:space="preserve">Threat Landscape (DF5) — High</w:t>
            </w:r>
          </w:p>
        </w:tc>
        <w:tc>
          <w:tcPr>
            <w:tcW w:type="dxa" w:w="6400"/>
            <w:shd w:fill="F2F2F2" w:val="clear"/>
          </w:tcPr>
          <w:p>
            <w:r>
              <w:rPr>
                <w:b w:val="false"/>
                <w:bCs w:val="false"/>
                <w:color w:val="000000"/>
                <w:sz w:val="20"/>
                <w:szCs w:val="20"/>
              </w:rPr>
              <w:t xml:space="preserve">Multi-sumber (2, 3, 5, 6) mengonfirmasi The Gentlemen sebagai kelompok RaaS aktif sejak pertengahan 2025, dengan skema affiliate 90/10, telah mengklaim ratusan korban di puluhan negara, dan tercatat Kaspersky sebagai salah satu kelompok yang berkembang paling agresif di kawasan Asia Tenggara termasuk Indonesia.</w:t>
            </w:r>
          </w:p>
        </w:tc>
      </w:tr>
      <w:tr>
        <w:tc>
          <w:tcPr>
            <w:tcW w:type="dxa" w:w="500"/>
          </w:tcPr>
          <w:p>
            <w:r>
              <w:rPr>
                <w:b w:val="false"/>
                <w:bCs w:val="false"/>
                <w:color w:val="000000"/>
                <w:sz w:val="20"/>
                <w:szCs w:val="20"/>
              </w:rPr>
              <w:t xml:space="preserve">3</w:t>
            </w:r>
          </w:p>
        </w:tc>
        <w:tc>
          <w:tcPr>
            <w:tcW w:type="dxa" w:w="2450"/>
          </w:tcPr>
          <w:p>
            <w:r>
              <w:rPr>
                <w:b w:val="false"/>
                <w:bCs w:val="false"/>
                <w:color w:val="000000"/>
                <w:sz w:val="20"/>
                <w:szCs w:val="20"/>
              </w:rPr>
              <w:t xml:space="preserve">Role of IT (DF7) — Strategic</w:t>
            </w:r>
          </w:p>
        </w:tc>
        <w:tc>
          <w:tcPr>
            <w:tcW w:type="dxa" w:w="6400"/>
          </w:tcPr>
          <w:p>
            <w:r>
              <w:rPr>
                <w:b w:val="false"/>
                <w:bCs w:val="false"/>
                <w:color w:val="000000"/>
                <w:sz w:val="20"/>
                <w:szCs w:val="20"/>
              </w:rPr>
              <w:t xml:space="preserve">Korban berasal dari sektor manufaktur/produksi (pupuk, otomotif) dan logistik yang sangat bergantung pada sistem digital untuk operasional produksi, rantai pasok, dan layanan — konsisten dengan Sumber 1 &amp; 4.</w:t>
            </w:r>
          </w:p>
        </w:tc>
      </w:tr>
    </w:tbl>
    <w:p>
      <w:pPr>
        <w:pStyle w:val="Heading1"/>
        <w:spacing w:after="150" w:before="300"/>
      </w:pPr>
      <w:r>
        <w:rPr>
          <w:b/>
          <w:bCs/>
          <w:color w:val="1F3864"/>
          <w:sz w:val="26"/>
          <w:szCs w:val="26"/>
        </w:rPr>
        <w:t xml:space="preserve">3. Kesimpulan</w:t>
      </w:r>
    </w:p>
    <w:p>
      <w:pPr>
        <w:spacing w:after="150"/>
      </w:pPr>
      <w:r>
        <w:rPr>
          <w:b w:val="false"/>
          <w:bCs w:val="false"/>
          <w:i w:val="false"/>
          <w:iCs w:val="false"/>
          <w:sz w:val="21"/>
          <w:szCs w:val="21"/>
        </w:rPr>
        <w:t xml:space="preserve">Dengan enam sumber independen, analisis ini mampu memperkuat tiga komponen yang sama seperti pada versi bersumber tunggal (Proses [sisi penyerang], Informasi, Layanan/Infrastruktur), sekaligus memberi bukti yang jauh lebih rinci dan dapat diverifikasi silang — termasuk identifikasi korban BUMN sektor pupuk (PT Pupuk Iskandar Muda), teknik serangan spesifik (21 metode eksekusi jarak jauh, eksploitasi celah FortiOS/FortiProxy), dan model bisnis kelompok pelaku (RaaS dengan skema afiliasi 90/10).</w:t>
      </w:r>
    </w:p>
    <w:p>
      <w:pPr>
        <w:spacing w:after="150"/>
      </w:pPr>
      <w:r>
        <w:rPr>
          <w:b w:val="false"/>
          <w:bCs w:val="false"/>
          <w:i w:val="false"/>
          <w:iCs w:val="false"/>
          <w:sz w:val="21"/>
          <w:szCs w:val="21"/>
        </w:rPr>
        <w:t xml:space="preserve">Namun demikian, empat komponen tata kelola internal korban (Struktur Organisasi, Prinsip/Kebijakan, Budaya/Etika, Orang/Keahlian) tetap tidak dapat dinilai. Ini bukan kekurangan pengerjaan, melainkan keterbatasan riil: tidak satu pun korban di Indonesia (PIM, perusahaan otomotif, perusahaan logistik) yang mengeluarkan pernyataan publik resmi terkait insiden ini, berbeda dengan kasus BSI yang memiliki pernyataan Direktur Utama secara terbuka.</w:t>
      </w:r>
    </w:p>
    <w:p>
      <w:pPr>
        <w:spacing w:after="150"/>
      </w:pPr>
      <w:r>
        <w:rPr>
          <w:b w:val="false"/>
          <w:bCs w:val="false"/>
          <w:i w:val="false"/>
          <w:iCs w:val="false"/>
          <w:sz w:val="21"/>
          <w:szCs w:val="21"/>
        </w:rPr>
        <w:t xml:space="preserve">Langkah selanjutnya yang disarankan: mencari rilis resmi BSSN/Kominfo, laporan investigasi internal PIHC (induk PT Pupuk Iskandar Muda), atau pemberitaan lanjutan yang mengutip manajemen korban secara langsung, sebelum menuliskan kesimpulan akhir atas keempat komponen yang masih kosong.</w:t>
      </w:r>
    </w:p>
    <w:p>
      <w:pPr>
        <w:pStyle w:val="Heading1"/>
        <w:spacing w:after="150" w:before="300"/>
      </w:pPr>
      <w:r>
        <w:rPr>
          <w:b/>
          <w:bCs/>
          <w:color w:val="1F3864"/>
          <w:sz w:val="26"/>
          <w:szCs w:val="26"/>
        </w:rPr>
        <w:t xml:space="preserve">4. Dokumentasi</w:t>
      </w:r>
    </w:p>
    <w:p>
      <w:pPr>
        <w:spacing w:after="150"/>
      </w:pPr>
      <w:r>
        <w:rPr>
          <w:b w:val="false"/>
          <w:bCs w:val="false"/>
          <w:i w:val="false"/>
          <w:iCs w:val="false"/>
          <w:sz w:val="21"/>
          <w:szCs w:val="21"/>
        </w:rPr>
        <w:t xml:space="preserve">Catatan transparansi sumber: beberapa tautan yang semula diberikan (dua tautan share.google, satu tautan generik kumparan.com, dan satu artikel pikiran-rakyat.com) tidak dapat diakses langsung oleh sistem karena pemblokiran bot atau redirect ke halaman non-spesifik. Keenam sumber pada Bagian 0 digunakan sebagai penggantinya karena membahas subjek yang identik (serangan The Gentlemen di Indonesia 2025).</w:t>
      </w:r>
    </w:p>
    <w:p>
      <w:pPr>
        <w:spacing w:after="150"/>
      </w:pPr>
      <w:r>
        <w:rPr>
          <w:b w:val="false"/>
          <w:bCs w:val="false"/>
          <w:i w:val="false"/>
          <w:iCs w:val="false"/>
          <w:sz w:val="21"/>
          <w:szCs w:val="21"/>
        </w:rPr>
        <w:t xml:space="preserve">Tautan Repository: (isi tautan repository Anda di sini)</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Institut Sains dan Bisnis Atma Luhur   </w:t>
    </w:r>
    <w:r>
      <w:rPr>
        <w:color w:val="808080"/>
        <w:sz w:val="16"/>
        <w:szCs w:val="16"/>
      </w:rPr>
      <w:t xml:space="preserve">Halaman </w:t>
    </w:r>
    <w:r>
      <w:rPr>
        <w:color w:val="808080"/>
        <w:sz w:val="16"/>
        <w:szCs w:val="16"/>
      </w:rPr>
      <w:fldChar w:fldCharType="begin"/>
      <w:instrText xml:space="preserve">PAGE</w:instrText>
      <w:fldChar w:fldCharType="separate"/>
      <w:fldChar w:fldCharType="end"/>
    </w:r>
    <w:r>
      <w:rPr>
        <w:color w:val="808080"/>
        <w:sz w:val="16"/>
        <w:szCs w:val="16"/>
      </w:rPr>
      <w:t xml:space="preserve"> dari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i/>
        <w:iCs/>
        <w:color w:val="808080"/>
        <w:sz w:val="16"/>
        <w:szCs w:val="16"/>
      </w:rPr>
      <w:t xml:space="preserve">IS904 – Audit Sistem Informasi | Studi Kasus Multi-Sumber: The Gentlemen Ransomware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2026-09-27T13:35:47.634Z</dcterms:created>
  <dcterms:modified xsi:type="dcterms:W3CDTF">2026-09-27T13:35:47.642Z</dcterms:modified>
</cp:coreProperties>
</file>

<file path=docProps/custom.xml><?xml version="1.0" encoding="utf-8"?>
<Properties xmlns="http://schemas.openxmlformats.org/officeDocument/2006/custom-properties" xmlns:vt="http://schemas.openxmlformats.org/officeDocument/2006/docPropsVTypes"/>
</file>