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rPr>
        <w:t>本发明涉及桥梁工程施工技术领域</w:t>
      </w:r>
      <w:r>
        <w:rPr>
          <w:rFonts w:hint="eastAsia" w:eastAsia="楷体" w:cs="Times New Roman"/>
          <w:sz w:val="28"/>
          <w:szCs w:val="28"/>
          <w:highlight w:val="none"/>
          <w:lang w:val="en-US" w:eastAsia="zh-CN"/>
        </w:rPr>
        <w:t>，公开了</w:t>
      </w:r>
      <w:r>
        <w:rPr>
          <w:rFonts w:hint="default" w:ascii="Times New Roman" w:hAnsi="Times New Roman" w:eastAsia="楷体" w:cs="Times New Roman"/>
          <w:sz w:val="28"/>
          <w:szCs w:val="28"/>
          <w:highlight w:val="none"/>
          <w:lang w:val="en-US"/>
        </w:rPr>
        <w:t>一种悬索桥钢混组合梁原位叠合浇筑施工方法：将钢主梁节段吊装并纵向连接成连续钢梁骨架，铺设预制混凝土桥面板并形成湿接缝；将湿接缝划分为吊索区湿接缝与非吊索区湿接缝；第一阶段先浇筑预设跨中区段的非吊索区湿接缝，再由跨中向两侧索塔逐批次、对称且跳仓浇筑其余非吊索区湿接缝；待湿接缝混凝土达到预设强度后，第二阶段由跨中向两侧索塔对称、逐批次浇筑吊索区湿接缝，形成组合截面。该方法可在不设置外部等效配重的条件下改善主缆施工线形控制，并减轻吊点过早形成组合约束带来的不利受力影响。</w:t>
      </w:r>
      <w:r>
        <w:rPr>
          <w:rFonts w:hint="default" w:ascii="Times New Roman" w:hAnsi="Times New Roman" w:eastAsia="楷体" w:cs="Times New Roman"/>
          <w:sz w:val="28"/>
          <w:szCs w:val="28"/>
          <w:highlight w:val="none"/>
        </w:rPr>
        <w:tab/>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1.一种悬索桥钢混组合梁原位叠合浇筑施工方法，其特征在于，包括以下步骤：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S1、将钢主梁节段依次吊装至悬索桥主缆的吊索上，并纵向连接成连续钢梁骨架；将预制混凝土桥面板铺设于所述连续钢梁骨架的顶面，相邻所述预制混凝土桥面板之间形成湿接缝；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S2、将所述湿接缝划分为吊索区湿接缝和非吊索区湿接缝；所述吊索区湿接缝为位于吊索的中心线两侧预设范围内的湿接缝；所述非吊索区湿接缝为除所述吊索区湿接缝以外的湿接缝；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1，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判断所述第一阶段的湿接缝混凝土是否达到预设强度，若否，待所述湿接缝混凝土达到预设强度后开始第二阶段浇筑；若是，开始第二阶段浇筑；所述第二阶段由跨中向两侧索塔对称浇筑第N浇筑批次的所述吊索区湿接缝；其中，N≥1，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S7、判断第N浇筑批次完成后是否仍存在尚未浇筑的吊索区湿接缝，若是，将N+1赋值给N，返回步骤S6中所述第二阶段浇筑；若否，全桥湿接缝浇筑完成，形成组合截面。</w:t>
      </w:r>
    </w:p>
    <w:p>
      <w:pPr>
        <w:pStyle w:val="4"/>
        <w:widowControl w:val="0"/>
        <w:spacing w:line="500" w:lineRule="exact"/>
        <w:ind w:firstLine="560" w:firstLineChars="200"/>
        <w:jc w:val="both"/>
        <w:rPr>
          <w:rFonts w:hint="eastAsia" w:eastAsia="楷体" w:cs="Times New Roman"/>
          <w:sz w:val="28"/>
          <w:szCs w:val="28"/>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2.根据权利要求1所述的悬索桥钢混组合梁原位叠合浇筑施工方法，其特征在于，所述S3中先浇筑预设跨中区段的所述非吊索区湿接缝包括以下步骤：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3.根据权利要求2所述的悬索桥钢混组合梁原位叠合浇筑施工方法，其特征在于，所述S4中由跨中向两侧索塔对第i浇筑批次的所述非吊索区湿接缝进行逐批次、对称且跳仓浇筑包括以下步骤：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4.根据权利要求1所述的悬索桥钢混组合梁原位叠合浇筑施工方法，其特征在于，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5.根据权利要求1所述的悬索桥钢混组合梁原位叠合浇筑施工方法，其特征在于，所述S6中，在第N浇筑批次为所述第二阶段最末一批次之前，先执行以下步骤：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S71、复测主缆跨中、1/4跨和3/4跨的标高，得到各测点的实测标高，并计算各测点实测标高与该测点当前施工阶段目标标高之差Δ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S72、取各测点中绝对值最大的Δ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73、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6.根据权利要求1所述的悬索桥钢混组合梁原位叠合浇筑施工方法，其特征在于，还包括以下步骤：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7.根据权利要求6所述的悬索桥钢混组合梁原位叠合浇筑施工方法，其特征在于，所述预设阈值为L/10000，L为所述主缆跨度；在所述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8.根据权利要求1至7中任一项所述的悬索桥钢混组合梁原位叠合浇筑施工方法，其特征在于，所述湿接缝混凝土的强度等级不低于所述预制混凝土桥面板的强度等级。</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9.根据权利要求1所述的悬索桥钢混组合梁原位叠合浇筑施工方法，其特征在于，所述预设范围为吊索中心线两侧各1.25m。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10.根据权利要求1所述的悬索桥钢混组合梁原位叠合浇筑施工方法，其特征在于，所述第一阶段分为10-12个浇筑批次完成，每一批次的浇筑方量与设计方量之差的绝对值不超过设计方量的5%。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为解决上述问题，本发明提供一种悬索桥钢混组合梁原位叠合浇筑施工方法，包括以下步骤：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1，i为正整数，i的起始值为1；所述跳仓浇筑为沿桥纵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判断所述第一阶段的湿接缝混凝土是否达到预设强度，若否，待所述湿接缝混凝土达到预设强度后开始第二阶段浇筑；若是，开始第二阶段浇筑；所述第二阶段由跨中向两侧索塔对称浇筑第N浇筑批次的所述吊索区湿接缝；其中，N≥1，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进一步地，所述S3中预设跨中区段按以下步骤确定并浇筑：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进一步地，所述S4中由跨中向两侧索塔对第i浇筑批次的非吊索区湿接缝进行逐批次、对称且跳仓浇筑时，按照以下步骤进行：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进一步地，所述第一阶段分为10-12个浇筑批次完成，每一批次的浇筑方量与设计方量之差的绝对值不超过设计方量的5%。</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进一步地，所述S6中，在第N浇筑批次为所述第二阶段最末一批次之前，复测主缆跨中、1/4跨和3/4跨的标高，得到各测点的实测标高，并计算各测点实测标高与该测点当前施工阶段目标标高之差Δ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进一步地，所述湿接缝混凝土的强度等级不低于所述预制混凝土桥面板的强度等级。</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与现有技术相比，本发明的有益效果在于：通过将湿接缝划分为吊索区湿接缝与非吊索区湿接缝，并在第一阶段先浇筑预设跨中区段的非吊索区湿接缝、再由跨中向两侧索塔对称跳仓浇筑其余非吊索区湿接缝，待湿接缝混凝土达到预设强度后，再于第二阶段对称浇筑吊索区湿接缝以形成组合截面，能够在不设置外部等效配重的条件下，借助分区、分阶段及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在本实施例中，如图1所示，一种悬索桥钢混组合梁原位叠合浇筑施工方法，包括以下步骤：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1，i为正整数，i的起始值为1；所述跳仓浇筑为沿桥纵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判断所述第一阶段的湿接缝混凝土是否达到预设强度，若否，待所述湿接缝混凝土达到预设强度后开始第二阶段浇筑；若是，开始第二阶段浇筑；所述第二阶段由跨中向两侧索塔对称浇筑第N浇筑批次的所述吊索区湿接缝；其中，N≥1，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如图1所示，</w:t>
      </w:r>
      <w:r>
        <w:rPr>
          <w:rFonts w:hint="default" w:ascii="Times New Roman" w:hAnsi="Times New Roman" w:eastAsia="楷体" w:cs="Times New Roman"/>
          <w:sz w:val="28"/>
          <w:szCs w:val="28"/>
          <w:highlight w:val="none"/>
        </w:rPr>
        <w:t>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区湿接缝是指位于吊索中心线两侧</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范围内、对应吊点附近的湿接缝区段；所述非吊索区湿接缝是指除吊索区湿接缝以外的其余湿接缝区段。所述</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用于界定吊点附近需滞后浇筑的接缝宽度，其具体取值可按工程设计确定。所述预设跨中区段是指以主缆跨中为中心、向两侧对称延伸、用于优先浇筑以提升主缆水平张力并建立初始几何刚度基准的非吊索区湿接缝区段。所述跳仓浇筑是指沿桥纵向相邻浇筑批次之间至少间隔一个吊索节段、避免连续相邻区段同步硬化的浇筑组织方式；所述吊索节段是指相邻两根吊索之间的桥纵向区段。所述预设强度是指第一阶段湿接缝混凝土达到可进入第二阶段浇筑所要求的强度控制值，例如达到设计强度的</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第一阶段仅浇筑非吊索区湿接缝，且不依赖水箱、砂袋等外部等效配重。先浇筑预设跨中区段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称、跳仓推进其余非吊索区浇筑：对称用于保持左右平衡、抑制塔偏与线形偏斜；跳仓（间隔至少一个吊索节段）用于避免连续区段同步硬化造成局部刚度突变和变形集中，并将荷载效应分散到多个施工段。两端区域加载时，可利用主缆变形影响线沿跨径正负交替的“波浪特性”：两端加载可在跨中产生约反向隆起效应，对前期跨中下沉形成补偿，使主缆线形向目标状态回归。由此，第一阶段形成跨中优先建立刚度</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进一步地，所述预设跨中区段按以下步骤确定并浇筑：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预设跨中区段浇筑开始前、由步骤S31获得的主缆水平张力，并在q循环内保持不变；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在步骤S31于浇筑前一次获得H₀，作为本轮跨中扩展的张力基准；此后由跨中向两侧、按距跨中由近及远的顺序，将一组尚未浇筑的非吊索区湿接缝作为第q次浇筑对象并浇筑，浇筑完成后获得H₁，并计算(H₁−H₀)/H₀。若(H₁−H₀)/H₀≤15%，将q+1赋值给q并返回步骤S32，H₀保持不变，继续浇筑下一组；若(H₁−H₀)/H₀&gt;15%，判定跨中区段浇筑完成，进入步骤S4。</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进一步地，在浇筑跨中与两侧索塔之间区段的非吊索区湿接缝时，按照以下步骤进行：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当前竖向位移δ是指每一浇筑批次开始前，主缆跨中标高相对湿接缝浇筑开始前同一测点标高的竖向改变量，向下为正、向上为负，用于表征跨中相对浇筑起点已累积的下沉或抬升。所述对称节段对j是指相对主缆跨中左右对称、拟在同一批次同步浇筑的一对非吊索区湿接缝节段。所述影响系数是指节段对j中第m个节段浇筑1 m³湿接缝混凝土时引起的跨中竖向位移响应；其符号与δ同向约定为正，即该节段加载使跨中继续下沉时为正，使跨中抬升时为负。所述预估跨中竖向位移是指假定本批次浇筑该对称节段对后，在现有δ基础上叠加各节段计划方量与相应影响系数之积后得到的跨中竖向位移预估值。</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影响系数的获得，可依据当前施工阶段的主缆—吊索—加劲梁计算模型，对相应节段施加1 m³湿接缝混凝土对应的等效自重，读取跨中竖向位移响应得到；亦可由主缆变形影响线在该节段位置的取值换算得到。同一批次比选中，各对称节段对应采用同一计算模型与同一符号约定，以保证可比。</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对每一尚未浇筑且满足对称要求的节段对j，按其计划浇筑方量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计算</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ascii="DejaVu Math TeX Gyre" w:hAnsi="DejaVu Math TeX Gyre"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ascii="DejaVu Math TeX Gyre" w:hAnsi="DejaVu Math TeX Gyre" w:eastAsia="楷体" w:cs="Times New Roman"/>
                <w:b w:val="0"/>
                <w:i w:val="0"/>
                <w:sz w:val="28"/>
                <w:szCs w:val="28"/>
                <w:highlight w:val="none"/>
                <w:lang w:eastAsia="zh-CN"/>
              </w:rPr>
            </m:ctrlPr>
          </m:sub>
          <m:sup>
            <m:ctrlPr>
              <w:rPr>
                <w:rFonts w:hint="eastAsia" w:ascii="DejaVu Math TeX Gyre" w:hAnsi="DejaVu Math TeX Gyre" w:eastAsia="楷体" w:cs="Times New Roman"/>
                <w:b w:val="0"/>
                <w:i w:val="0"/>
                <w:sz w:val="28"/>
                <w:szCs w:val="28"/>
                <w:highlight w:val="none"/>
                <w:lang w:eastAsia="zh-CN"/>
              </w:rPr>
            </m:ctrlPr>
          </m:sup>
          <m:e>
            <m:r>
              <m:rPr>
                <m:sty m:val="p"/>
              </m:rPr>
              <w:rPr>
                <w:rFonts w:hint="default" w:ascii="DejaVu Math TeX Gyre" w:hAnsi="DejaVu Math TeX Gyre" w:eastAsia="楷体" w:cs="Times New Roman"/>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Times New Roman"/>
                <w:sz w:val="28"/>
                <w:szCs w:val="28"/>
                <w:highlight w:val="none"/>
                <w:lang w:eastAsia="zh-CN"/>
              </w:rPr>
              <m:t>）</m:t>
            </m:r>
            <m:ctrlPr>
              <w:rPr>
                <w:rFonts w:hint="eastAsia" w:ascii="DejaVu Math TeX Gyre" w:hAnsi="DejaVu Math TeX Gyre" w:eastAsia="楷体" w:cs="Times New Roman"/>
                <w:b w:val="0"/>
                <w:i w:val="0"/>
                <w:sz w:val="28"/>
                <w:szCs w:val="28"/>
                <w:highlight w:val="none"/>
                <w:lang w:eastAsia="zh-CN"/>
              </w:rPr>
            </m:ctrlPr>
          </m:e>
        </m:nary>
      </m:oMath>
      <w:r>
        <w:rPr>
          <w:rFonts w:hint="eastAsia" w:eastAsia="楷体" w:cs="Times New Roman"/>
          <w:sz w:val="28"/>
          <w:szCs w:val="28"/>
          <w:highlight w:val="none"/>
          <w:lang w:val="en-US" w:eastAsia="zh-CN"/>
        </w:rPr>
        <w:t>。该式将当前已发生的跨中位移与本批次计划加载将新增的跨中位移相加，得到若浇筑该节段对后的跨中位移预估，供批次间比选。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在候选集合上再施加跳仓约束：仅保留沿纵向与已浇筑段间隔至少一个吊索节段的对称节段对，以避免连续相邻区段同步硬化造成局部刚度突变和变形集中。然后在该集合中选取使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最接近0的对称节段对作为本批次浇筑对象。选取最接近0而非简单按里程推进，是为了在每一批次都尽量把跨中位移往零位收敛，使线形在分批加载过程中持续自平衡；若始终浇筑使|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在一个可选的实施方式中，若若干对称节段对的|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|接近，可结合施工组织便利性，如泵送距离、仓面准备情况在其中择一；但不得突破“间隔至少一个吊索节段”的跳仓约束，也不得改用使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明显偏离0的节段对来迁就施工便利。</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