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14ACF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专利申请代理机构预评估报告</w:t>
      </w:r>
    </w:p>
    <w:tbl>
      <w:tblPr>
        <w:tblStyle w:val="2"/>
        <w:tblW w:w="88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2623"/>
        <w:gridCol w:w="1869"/>
        <w:gridCol w:w="2587"/>
      </w:tblGrid>
      <w:tr w14:paraId="0282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  <w:jc w:val="center"/>
        </w:trPr>
        <w:tc>
          <w:tcPr>
            <w:tcW w:w="1791" w:type="dxa"/>
            <w:vAlign w:val="center"/>
          </w:tcPr>
          <w:p w14:paraId="67AA140D">
            <w:pPr>
              <w:ind w:left="442" w:hanging="442" w:hangingChars="200"/>
              <w:jc w:val="center"/>
              <w:rPr>
                <w:rFonts w:ascii="宋体" w:hAnsi="宋体" w:eastAsia="宋体" w:cs="Times New Roman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专利名称</w:t>
            </w:r>
          </w:p>
        </w:tc>
        <w:tc>
          <w:tcPr>
            <w:tcW w:w="7079" w:type="dxa"/>
            <w:gridSpan w:val="3"/>
            <w:vAlign w:val="center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一种用于截骨矫形的骨假体</w:t>
            </w:r>
          </w:p>
        </w:tc>
      </w:tr>
      <w:tr w14:paraId="6D3F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  <w:jc w:val="center"/>
        </w:trPr>
        <w:tc>
          <w:tcPr>
            <w:tcW w:w="1791" w:type="dxa"/>
            <w:vAlign w:val="center"/>
          </w:tcPr>
          <w:p w14:paraId="4BA3D5E3">
            <w:pPr>
              <w:tabs>
                <w:tab w:val="left" w:pos="840"/>
              </w:tabs>
              <w:ind w:right="33"/>
              <w:jc w:val="center"/>
              <w:rPr>
                <w:rFonts w:ascii="宋体"/>
                <w:b/>
                <w:bCs/>
              </w:rPr>
            </w:pPr>
            <w:r>
              <w:rPr>
                <w:rFonts w:hint="eastAsia" w:ascii="宋体"/>
                <w:b/>
                <w:bCs/>
              </w:rPr>
              <w:t>申请人</w:t>
            </w:r>
          </w:p>
          <w:p w14:paraId="77685B78">
            <w:pPr>
              <w:tabs>
                <w:tab w:val="left" w:pos="840"/>
              </w:tabs>
              <w:ind w:right="33"/>
              <w:jc w:val="center"/>
              <w:rPr>
                <w:rFonts w:ascii="宋体" w:hAnsi="宋体" w:eastAsia="宋体" w:cs="Times New Roman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/>
                <w:b/>
                <w:bCs/>
              </w:rPr>
              <w:t>（授权后的专利权人）</w:t>
            </w:r>
          </w:p>
        </w:tc>
        <w:tc>
          <w:tcPr>
            <w:tcW w:w="7079" w:type="dxa"/>
            <w:gridSpan w:val="3"/>
            <w:vAlign w:val="center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中南大学湘雅二医院</w:t>
            </w:r>
          </w:p>
        </w:tc>
      </w:tr>
      <w:tr w14:paraId="51BD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" w:hRule="atLeast"/>
          <w:jc w:val="center"/>
        </w:trPr>
        <w:tc>
          <w:tcPr>
            <w:tcW w:w="1791" w:type="dxa"/>
            <w:vAlign w:val="center"/>
          </w:tcPr>
          <w:p w14:paraId="19C4C0B6">
            <w:pPr>
              <w:jc w:val="center"/>
              <w:rPr>
                <w:rFonts w:ascii="宋体" w:hAnsi="宋体" w:eastAsia="宋体" w:cs="Times New Roman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项目联系人</w:t>
            </w:r>
          </w:p>
        </w:tc>
        <w:tc>
          <w:tcPr>
            <w:tcW w:w="2623" w:type="dxa"/>
            <w:vAlign w:val="center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待发明人补充</w:t>
            </w:r>
          </w:p>
        </w:tc>
        <w:tc>
          <w:tcPr>
            <w:tcW w:w="1869" w:type="dxa"/>
            <w:vAlign w:val="center"/>
          </w:tcPr>
          <w:p w14:paraId="7231FF51">
            <w:pPr>
              <w:jc w:val="center"/>
              <w:rPr>
                <w:rFonts w:ascii="宋体" w:hAnsi="宋体" w:eastAsia="宋体" w:cs="Times New Roman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2587" w:type="dxa"/>
            <w:vAlign w:val="center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待发明人补充</w:t>
            </w:r>
          </w:p>
        </w:tc>
      </w:tr>
      <w:tr w14:paraId="6AF9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6" w:hRule="atLeast"/>
          <w:jc w:val="center"/>
        </w:trPr>
        <w:tc>
          <w:tcPr>
            <w:tcW w:w="1791" w:type="dxa"/>
            <w:vAlign w:val="center"/>
          </w:tcPr>
          <w:p w14:paraId="2A966090">
            <w:pPr>
              <w:jc w:val="center"/>
              <w:rPr>
                <w:rFonts w:hint="default" w:ascii="宋体" w:hAnsi="宋体" w:eastAsia="宋体" w:cs="Times New Roman"/>
                <w:b/>
                <w:bCs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专利简介</w:t>
            </w:r>
          </w:p>
        </w:tc>
        <w:tc>
          <w:tcPr>
            <w:tcW w:w="7079" w:type="dxa"/>
            <w:gridSpan w:val="3"/>
            <w:vAlign w:val="center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本实用新型用于长管状骨截骨矫形，含第一、第二假体，各具髓内柄及连接部。</w:t>
            </w:r>
          </w:p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两连接部以外球面、内球面构成可相对转动的球面副，两柄反向插入截骨后两骨段髓腔，以调整、维持力线。</w:t>
            </w:r>
          </w:p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从权补充防脱唇、顶紧螺钉锁定、柄部防转及骨长入等结构。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术中可全向微调成角，并在截骨线处形成髓内支撑。</w:t>
            </w:r>
          </w:p>
        </w:tc>
      </w:tr>
      <w:tr w14:paraId="1ED4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6" w:hRule="atLeast"/>
          <w:jc w:val="center"/>
        </w:trPr>
        <w:tc>
          <w:tcPr>
            <w:tcW w:w="1791" w:type="dxa"/>
            <w:vAlign w:val="center"/>
          </w:tcPr>
          <w:p w14:paraId="6B710F7A">
            <w:pPr>
              <w:jc w:val="center"/>
              <w:rPr>
                <w:rFonts w:hint="eastAsia" w:ascii="宋体" w:hAnsi="宋体" w:cs="Times New Roman" w:eastAsiaTheme="minorEastAsia"/>
                <w:b/>
                <w:bCs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文献检索调研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报告</w:t>
            </w:r>
          </w:p>
        </w:tc>
        <w:tc>
          <w:tcPr>
            <w:tcW w:w="7079" w:type="dxa"/>
            <w:gridSpan w:val="3"/>
            <w:vAlign w:val="center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2026年9月14日公开检索中外专利，不能替代CNIPA正式检索。</w:t>
            </w:r>
          </w:p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最接近文献为双髓内柄截骨段骨干假体（如CN201710220674、CN201821514752），中间为插头或螺钉刚性连接。</w:t>
            </w:r>
          </w:p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肩、髋等球面副用于关节置换，并非连接两个截骨骨段。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未见与独权完全相同的公开，初步具备新颖性；存在“双柄假体+公知球面副”的组合评述风险。</w:t>
            </w:r>
          </w:p>
        </w:tc>
      </w:tr>
      <w:tr w14:paraId="38DAA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6" w:hRule="atLeast"/>
          <w:jc w:val="center"/>
        </w:trPr>
        <w:tc>
          <w:tcPr>
            <w:tcW w:w="1791" w:type="dxa"/>
            <w:vAlign w:val="center"/>
          </w:tcPr>
          <w:p w14:paraId="413617ED">
            <w:pPr>
              <w:jc w:val="center"/>
              <w:rPr>
                <w:rFonts w:hint="eastAsia" w:ascii="宋体" w:hAnsi="宋体" w:eastAsia="宋体" w:cs="Times New Roman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应用前景等情况说明</w:t>
            </w:r>
          </w:p>
        </w:tc>
        <w:tc>
          <w:tcPr>
            <w:tcW w:w="7079" w:type="dxa"/>
            <w:gridSpan w:val="3"/>
            <w:vAlign w:val="center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长管状骨截骨矫形临床常见，多平面成角术中微调仍较依赖经验。</w:t>
            </w:r>
          </w:p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本案不同于节段缺损重建假体和通长髓内钉，可用于截骨后全向调角并髓内支撑。</w:t>
            </w:r>
          </w:p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属第三类植入器械，专利授权不等于可上市。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适合作为医院实用新型快速确权，转化价值取决于后续力学与临床验证。</w:t>
            </w:r>
          </w:p>
        </w:tc>
      </w:tr>
      <w:tr w14:paraId="68BA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6" w:hRule="atLeast"/>
          <w:jc w:val="center"/>
        </w:trPr>
        <w:tc>
          <w:tcPr>
            <w:tcW w:w="1791" w:type="dxa"/>
            <w:vAlign w:val="center"/>
          </w:tcPr>
          <w:p w14:paraId="213F16FB"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专利初评意见（新颖性、创造性等）</w:t>
            </w:r>
          </w:p>
        </w:tc>
        <w:tc>
          <w:tcPr>
            <w:tcW w:w="7079" w:type="dxa"/>
            <w:gridSpan w:val="3"/>
            <w:vAlign w:val="center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新颖性8分：未见相同公开，独权初步具备新颖性。</w:t>
            </w:r>
          </w:p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创造性6分：相对刚性双柄骨干假体增加球面副调角，实用新型可成立；改发明有“已知手段结合”风险，建议维持实用新型。</w:t>
            </w:r>
          </w:p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实用性8分：结构可制造、可实施。非正常申请风险较低。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提交前请统一“本发明/本实用新型”，并清理图2及附图标记9。</w:t>
            </w:r>
          </w:p>
        </w:tc>
      </w:tr>
      <w:tr w14:paraId="4F717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6" w:hRule="atLeast"/>
          <w:jc w:val="center"/>
        </w:trPr>
        <w:tc>
          <w:tcPr>
            <w:tcW w:w="1791" w:type="dxa"/>
            <w:vAlign w:val="center"/>
          </w:tcPr>
          <w:p w14:paraId="0CF302BE">
            <w:pPr>
              <w:jc w:val="center"/>
              <w:rPr>
                <w:rFonts w:hint="default" w:ascii="宋体" w:hAnsi="宋体" w:cs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是否推荐本专利申请</w:t>
            </w:r>
          </w:p>
        </w:tc>
        <w:tc>
          <w:tcPr>
            <w:tcW w:w="7079" w:type="dxa"/>
            <w:gridSpan w:val="3"/>
            <w:vAlign w:val="center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☑是     □否，理由为：_____</w:t>
            </w:r>
          </w:p>
        </w:tc>
      </w:tr>
      <w:tr w14:paraId="2A1DA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6" w:hRule="atLeast"/>
          <w:jc w:val="center"/>
        </w:trPr>
        <w:tc>
          <w:tcPr>
            <w:tcW w:w="1791" w:type="dxa"/>
            <w:vAlign w:val="center"/>
          </w:tcPr>
          <w:p w14:paraId="2FC25957">
            <w:pPr>
              <w:jc w:val="center"/>
              <w:rPr>
                <w:rFonts w:hint="default" w:ascii="宋体" w:hAnsi="宋体" w:cs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是否走预审、优审等快速审核通道</w:t>
            </w:r>
          </w:p>
        </w:tc>
        <w:tc>
          <w:tcPr>
            <w:tcW w:w="7079" w:type="dxa"/>
            <w:gridSpan w:val="3"/>
            <w:vAlign w:val="center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☑否     □是：□优审  □预审  □其他：_____</w:t>
            </w:r>
          </w:p>
        </w:tc>
      </w:tr>
      <w:tr w14:paraId="0AE5F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6" w:hRule="atLeast"/>
          <w:jc w:val="center"/>
        </w:trPr>
        <w:tc>
          <w:tcPr>
            <w:tcW w:w="1791" w:type="dxa"/>
            <w:vAlign w:val="center"/>
          </w:tcPr>
          <w:p w14:paraId="63FD5D18">
            <w:pPr>
              <w:jc w:val="center"/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审核建议</w:t>
            </w:r>
          </w:p>
          <w:p w14:paraId="7A7FC265">
            <w:pPr>
              <w:jc w:val="center"/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注:满分10分制下，创造性评分高于5分的，建议发明人申请发明专利。</w:t>
            </w:r>
          </w:p>
          <w:p w14:paraId="5063E5D7">
            <w:pPr>
              <w:jc w:val="center"/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</w:tc>
        <w:tc>
          <w:tcPr>
            <w:tcW w:w="7079" w:type="dxa"/>
            <w:gridSpan w:val="3"/>
            <w:vAlign w:val="center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我事务所代理贵院发明人（待发明人确认）的专利申请“一种用于截骨矫形的骨假体”，我方认为该专利申请从新颖性（8分）、创造性（6分）、实用性（8分）等角度考虑，其作为实用新型的授权概率较高；申请文件已给出可实施的结构方案与附图，属于“非正常专利申请”的风险较低。创造性虽评6分，但改走发明风险较大，建议仍按实用新型提交。因此，我方建议提交该专利的申请。</w:t>
            </w:r>
          </w:p>
        </w:tc>
      </w:tr>
      <w:tr w14:paraId="67A4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22" w:hRule="atLeast"/>
          <w:jc w:val="center"/>
        </w:trPr>
        <w:tc>
          <w:tcPr>
            <w:tcW w:w="1791" w:type="dxa"/>
            <w:vAlign w:val="center"/>
          </w:tcPr>
          <w:p w14:paraId="09DBF48F">
            <w:pPr>
              <w:jc w:val="center"/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</w:tc>
        <w:tc>
          <w:tcPr>
            <w:tcW w:w="7079" w:type="dxa"/>
            <w:gridSpan w:val="3"/>
            <w:vAlign w:val="center"/>
          </w:tcPr>
          <w:p w14:paraId="379183C4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本事务所</w:t>
            </w:r>
            <w:r>
              <w:rPr>
                <w:rFonts w:hint="eastAsia"/>
              </w:rPr>
              <w:t>郑重承诺：本申请所涉及的全部材料及信息均真实、准确、完整，不存在任何虚假记载或误导性陈述。如在后续审查及办理流程中，本申请被国家知识产权局认定为“非正常专利申请”，本事务所自愿承担所有责任，与申请人无关，且保证会立即进行处理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并接受医院据此对我司进行的问责与处理。</w:t>
            </w:r>
          </w:p>
          <w:p w14:paraId="5F6AC9C2">
            <w:pPr>
              <w:ind w:firstLine="5460" w:firstLineChars="26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（公章）</w:t>
            </w:r>
          </w:p>
          <w:p w14:paraId="03A1C85A">
            <w:pPr>
              <w:ind w:firstLine="4620" w:firstLineChars="2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日期：</w:t>
            </w:r>
          </w:p>
        </w:tc>
      </w:tr>
    </w:tbl>
    <w:p w14:paraId="34B7A55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227CB7"/>
    <w:rsid w:val="6222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2026-06-29T02:08:00Z</dcterms:created>
  <dc:creator>Szy</dc:creator>
  <cp:lastModifiedBy>Szy</cp:lastModifiedBy>
  <dcterms:modified xsi:type="dcterms:W3CDTF">2026-06-29T02:09:02Z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4FA5E04D909C4C22B354FEDC287D4EB7_11</vt:lpwstr>
  </property>
  <property fmtid="{D5CDD505-2E9C-101B-9397-08002B2CF9AE}" pid="4" name="KSOTemplateDocerSaveRecord">
    <vt:lpwstr>eyJoZGlkIjoiMzU4Y2Y4Y2EwOWEzZTNiMzE4MTdlMGYyMmUxY2JlNmQiLCJ1c2VySWQiOiIyMzE0NTQ0MCJ9</vt:lpwstr>
  </property>
</Properties>
</file>