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714ACF">
      <w:pPr>
        <w:widowControl w:val="0"/>
        <w:numPr>
          <w:ilvl w:val="0"/>
          <w:numId w:val="0"/>
        </w:numPr>
        <w:jc w:val="center"/>
        <w:rPr>
          <w:rFonts w:hint="eastAsia"/>
          <w:b/>
          <w:bCs/>
          <w:lang w:val="en-US" w:eastAsia="zh-CN"/>
        </w:rPr>
      </w:pPr>
      <w:r>
        <w:rPr>
          <w:rFonts w:hint="eastAsia"/>
          <w:b/>
          <w:bCs/>
          <w:lang w:val="en-US" w:eastAsia="zh-CN"/>
        </w:rPr>
        <w:t>专利申请代理机构预评估报告</w:t>
      </w:r>
    </w:p>
    <w:tbl>
      <w:tblPr>
        <w:tblStyle w:val="2"/>
        <w:tblW w:w="8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1"/>
        <w:gridCol w:w="2623"/>
        <w:gridCol w:w="1869"/>
        <w:gridCol w:w="2587"/>
      </w:tblGrid>
      <w:tr w14:paraId="0282A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7" w:hRule="atLeast"/>
          <w:jc w:val="center"/>
        </w:trPr>
        <w:tc>
          <w:tcPr>
            <w:tcW w:w="1791" w:type="dxa"/>
            <w:vAlign w:val="center"/>
          </w:tcPr>
          <w:p w14:paraId="67AA140D">
            <w:pPr>
              <w:ind w:left="442" w:hanging="442" w:hangingChars="200"/>
              <w:jc w:val="center"/>
              <w:rPr>
                <w:rFonts w:ascii="宋体" w:hAnsi="宋体" w:eastAsia="宋体" w:cs="Times New Roman"/>
                <w:b/>
                <w:bCs/>
                <w:color w:val="000000" w:themeColor="text1"/>
                <w:sz w:val="22"/>
                <w14:textFill>
                  <w14:solidFill>
                    <w14:schemeClr w14:val="tx1"/>
                  </w14:solidFill>
                </w14:textFill>
              </w:rPr>
            </w:pPr>
            <w:r>
              <w:rPr>
                <w:rFonts w:hint="eastAsia" w:ascii="宋体" w:hAnsi="宋体" w:eastAsia="宋体" w:cs="Times New Roman"/>
                <w:b/>
                <w:bCs/>
                <w:color w:val="000000" w:themeColor="text1"/>
                <w:sz w:val="22"/>
                <w14:textFill>
                  <w14:solidFill>
                    <w14:schemeClr w14:val="tx1"/>
                  </w14:solidFill>
                </w14:textFill>
              </w:rPr>
              <w:t>专利名称</w:t>
            </w:r>
          </w:p>
        </w:tc>
        <w:tc>
          <w:tcPr>
            <w:tcW w:w="7079" w:type="dxa"/>
            <w:gridSpan w:val="3"/>
            <w:vAlign w:val="center"/>
          </w:tcPr>
          <w:p>
            <w:pPr>
              <w:spacing w:before="0" w:after="0" w:line="276" w:lineRule="auto"/>
              <w:ind w:firstLine="0"/>
              <w:jc w:val="left"/>
            </w:pPr>
            <w:r>
              <w:rPr>
                <w:rFonts w:ascii="宋体" w:hAnsi="宋体" w:eastAsia="宋体" w:cs="宋体"/>
                <w:b/>
                <w:sz w:val="24"/>
              </w:rPr>
              <w:t>一种用于截骨矫形的骨假体</w:t>
            </w:r>
          </w:p>
        </w:tc>
      </w:tr>
      <w:tr w14:paraId="6D3F2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7" w:hRule="atLeast"/>
          <w:jc w:val="center"/>
        </w:trPr>
        <w:tc>
          <w:tcPr>
            <w:tcW w:w="1791" w:type="dxa"/>
            <w:vAlign w:val="center"/>
          </w:tcPr>
          <w:p w14:paraId="4BA3D5E3">
            <w:pPr>
              <w:tabs>
                <w:tab w:val="left" w:pos="840"/>
              </w:tabs>
              <w:ind w:right="33"/>
              <w:jc w:val="center"/>
              <w:rPr>
                <w:rFonts w:ascii="宋体"/>
                <w:b/>
                <w:bCs/>
              </w:rPr>
            </w:pPr>
            <w:r>
              <w:rPr>
                <w:rFonts w:hint="eastAsia" w:ascii="宋体"/>
                <w:b/>
                <w:bCs/>
              </w:rPr>
              <w:t>申请人</w:t>
            </w:r>
          </w:p>
          <w:p w14:paraId="77685B78">
            <w:pPr>
              <w:tabs>
                <w:tab w:val="left" w:pos="840"/>
              </w:tabs>
              <w:ind w:right="33"/>
              <w:jc w:val="center"/>
              <w:rPr>
                <w:rFonts w:ascii="宋体" w:hAnsi="宋体" w:eastAsia="宋体" w:cs="Times New Roman"/>
                <w:b/>
                <w:bCs/>
                <w:color w:val="000000" w:themeColor="text1"/>
                <w:sz w:val="22"/>
                <w14:textFill>
                  <w14:solidFill>
                    <w14:schemeClr w14:val="tx1"/>
                  </w14:solidFill>
                </w14:textFill>
              </w:rPr>
            </w:pPr>
            <w:r>
              <w:rPr>
                <w:rFonts w:hint="eastAsia" w:ascii="宋体"/>
                <w:b/>
                <w:bCs/>
              </w:rPr>
              <w:t>（授权后的专利权人）</w:t>
            </w:r>
          </w:p>
        </w:tc>
        <w:tc>
          <w:tcPr>
            <w:tcW w:w="7079" w:type="dxa"/>
            <w:gridSpan w:val="3"/>
            <w:vAlign w:val="center"/>
          </w:tcPr>
          <w:p>
            <w:pPr>
              <w:spacing w:before="0" w:after="40" w:line="276" w:lineRule="auto"/>
              <w:ind w:firstLine="0"/>
              <w:jc w:val="left"/>
            </w:pPr>
            <w:r>
              <w:rPr>
                <w:rFonts w:ascii="宋体" w:hAnsi="宋体" w:eastAsia="宋体" w:cs="宋体"/>
                <w:b/>
                <w:sz w:val="21"/>
              </w:rPr>
              <w:t>中南大学湘雅二医院</w:t>
            </w:r>
          </w:p>
          <w:p>
            <w:pPr>
              <w:spacing w:before="0" w:after="0" w:line="276" w:lineRule="auto"/>
              <w:ind w:firstLine="0"/>
              <w:jc w:val="left"/>
            </w:pPr>
            <w:r>
              <w:rPr>
                <w:rFonts w:ascii="宋体" w:hAnsi="宋体" w:eastAsia="宋体" w:cs="宋体"/>
                <w:b w:val="0"/>
                <w:sz w:val="18"/>
              </w:rPr>
              <w:t>（如有多个单位或个人与中南大学湘雅二医院作为共同权利人，请补充填写，例如：“中南大学湘雅二医院、XXX有限公司”。初稿未记载共同申请人。）</w:t>
            </w:r>
          </w:p>
        </w:tc>
      </w:tr>
      <w:tr w14:paraId="51BD1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8" w:hRule="atLeast"/>
          <w:jc w:val="center"/>
        </w:trPr>
        <w:tc>
          <w:tcPr>
            <w:tcW w:w="1791" w:type="dxa"/>
            <w:vAlign w:val="center"/>
          </w:tcPr>
          <w:p w14:paraId="19C4C0B6">
            <w:pPr>
              <w:jc w:val="center"/>
              <w:rPr>
                <w:rFonts w:ascii="宋体" w:hAnsi="宋体" w:eastAsia="宋体" w:cs="Times New Roman"/>
                <w:b/>
                <w:bCs/>
                <w:color w:val="000000" w:themeColor="text1"/>
                <w:sz w:val="22"/>
                <w14:textFill>
                  <w14:solidFill>
                    <w14:schemeClr w14:val="tx1"/>
                  </w14:solidFill>
                </w14:textFill>
              </w:rPr>
            </w:pPr>
            <w:r>
              <w:rPr>
                <w:rFonts w:hint="eastAsia" w:ascii="宋体" w:hAnsi="宋体" w:eastAsia="宋体" w:cs="Times New Roman"/>
                <w:b/>
                <w:bCs/>
                <w:color w:val="000000" w:themeColor="text1"/>
                <w:sz w:val="22"/>
                <w14:textFill>
                  <w14:solidFill>
                    <w14:schemeClr w14:val="tx1"/>
                  </w14:solidFill>
                </w14:textFill>
              </w:rPr>
              <w:t>项目联系人</w:t>
            </w:r>
          </w:p>
        </w:tc>
        <w:tc>
          <w:tcPr>
            <w:tcW w:w="2623" w:type="dxa"/>
            <w:vAlign w:val="center"/>
          </w:tcPr>
          <w:p>
            <w:pPr>
              <w:spacing w:before="0" w:after="0" w:line="276" w:lineRule="auto"/>
              <w:ind w:firstLine="0"/>
              <w:jc w:val="left"/>
            </w:pPr>
            <w:r>
              <w:rPr>
                <w:rFonts w:ascii="宋体" w:hAnsi="宋体" w:eastAsia="宋体" w:cs="宋体"/>
                <w:b w:val="0"/>
                <w:sz w:val="21"/>
              </w:rPr>
              <w:t>待发明人补充</w:t>
            </w:r>
          </w:p>
        </w:tc>
        <w:tc>
          <w:tcPr>
            <w:tcW w:w="1869" w:type="dxa"/>
            <w:vAlign w:val="center"/>
          </w:tcPr>
          <w:p w14:paraId="7231FF51">
            <w:pPr>
              <w:jc w:val="center"/>
              <w:rPr>
                <w:rFonts w:ascii="宋体" w:hAnsi="宋体" w:eastAsia="宋体" w:cs="Times New Roman"/>
                <w:b/>
                <w:bCs/>
                <w:color w:val="000000" w:themeColor="text1"/>
                <w:sz w:val="22"/>
                <w14:textFill>
                  <w14:solidFill>
                    <w14:schemeClr w14:val="tx1"/>
                  </w14:solidFill>
                </w14:textFill>
              </w:rPr>
            </w:pPr>
            <w:r>
              <w:rPr>
                <w:rFonts w:hint="eastAsia" w:ascii="宋体" w:hAnsi="宋体" w:eastAsia="宋体" w:cs="Times New Roman"/>
                <w:b/>
                <w:bCs/>
                <w:color w:val="000000" w:themeColor="text1"/>
                <w:sz w:val="22"/>
                <w14:textFill>
                  <w14:solidFill>
                    <w14:schemeClr w14:val="tx1"/>
                  </w14:solidFill>
                </w14:textFill>
              </w:rPr>
              <w:t>联系电话</w:t>
            </w:r>
          </w:p>
        </w:tc>
        <w:tc>
          <w:tcPr>
            <w:tcW w:w="2587" w:type="dxa"/>
            <w:vAlign w:val="center"/>
          </w:tcPr>
          <w:p>
            <w:pPr>
              <w:spacing w:before="0" w:after="0" w:line="276" w:lineRule="auto"/>
              <w:ind w:firstLine="0"/>
              <w:jc w:val="left"/>
            </w:pPr>
            <w:r>
              <w:rPr>
                <w:rFonts w:ascii="宋体" w:hAnsi="宋体" w:eastAsia="宋体" w:cs="宋体"/>
                <w:b w:val="0"/>
                <w:sz w:val="21"/>
              </w:rPr>
              <w:t>待发明人补充</w:t>
            </w:r>
          </w:p>
        </w:tc>
      </w:tr>
      <w:tr w14:paraId="6AF9D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26" w:hRule="atLeast"/>
          <w:jc w:val="center"/>
        </w:trPr>
        <w:tc>
          <w:tcPr>
            <w:tcW w:w="1791" w:type="dxa"/>
            <w:vAlign w:val="center"/>
          </w:tcPr>
          <w:p w14:paraId="2A966090">
            <w:pPr>
              <w:jc w:val="center"/>
              <w:rPr>
                <w:rFonts w:hint="default" w:ascii="宋体" w:hAnsi="宋体" w:eastAsia="宋体" w:cs="Times New Roman"/>
                <w:b/>
                <w:bCs/>
                <w:color w:val="000000" w:themeColor="text1"/>
                <w:sz w:val="22"/>
                <w:lang w:val="en-US" w:eastAsia="zh-CN"/>
                <w14:textFill>
                  <w14:solidFill>
                    <w14:schemeClr w14:val="tx1"/>
                  </w14:solidFill>
                </w14:textFill>
              </w:rPr>
            </w:pPr>
            <w:r>
              <w:rPr>
                <w:rFonts w:hint="eastAsia" w:ascii="宋体" w:hAnsi="宋体" w:eastAsia="宋体" w:cs="Times New Roman"/>
                <w:b/>
                <w:bCs/>
                <w:color w:val="000000" w:themeColor="text1"/>
                <w:sz w:val="22"/>
                <w:lang w:val="en-US" w:eastAsia="zh-CN"/>
                <w14:textFill>
                  <w14:solidFill>
                    <w14:schemeClr w14:val="tx1"/>
                  </w14:solidFill>
                </w14:textFill>
              </w:rPr>
              <w:t>专利简介</w:t>
            </w:r>
          </w:p>
        </w:tc>
        <w:tc>
          <w:tcPr>
            <w:tcW w:w="7079" w:type="dxa"/>
            <w:gridSpan w:val="3"/>
            <w:vAlign w:val="center"/>
          </w:tcPr>
          <w:p>
            <w:pPr>
              <w:spacing w:before="0" w:after="80" w:line="276" w:lineRule="auto"/>
              <w:ind w:firstLine="420"/>
              <w:jc w:val="both"/>
            </w:pPr>
            <w:r>
              <w:rPr>
                <w:rFonts w:ascii="宋体" w:hAnsi="宋体" w:eastAsia="宋体" w:cs="宋体"/>
                <w:b w:val="0"/>
                <w:sz w:val="21"/>
              </w:rPr>
              <w:t>本案案号PA26-0865，拟申请类型为实用新型，名称为“一种用于截骨矫形的骨假体”，申请人为中南大学湘雅二医院。初稿未列发明人及项目联系人，相应栏位待发明人补充。</w:t>
            </w:r>
          </w:p>
          <w:p>
            <w:pPr>
              <w:spacing w:before="0" w:after="40" w:line="276" w:lineRule="auto"/>
              <w:ind w:firstLine="0"/>
              <w:jc w:val="left"/>
            </w:pPr>
            <w:r>
              <w:rPr>
                <w:rFonts w:ascii="宋体" w:hAnsi="宋体" w:eastAsia="宋体" w:cs="宋体"/>
                <w:b/>
                <w:sz w:val="21"/>
              </w:rPr>
              <w:t>一、技术领域与拟解决的问题</w:t>
            </w:r>
          </w:p>
          <w:p>
            <w:pPr>
              <w:spacing w:before="0" w:after="60" w:line="276" w:lineRule="auto"/>
              <w:ind w:firstLine="420"/>
              <w:jc w:val="both"/>
            </w:pPr>
            <w:r>
              <w:rPr>
                <w:rFonts w:ascii="宋体" w:hAnsi="宋体" w:eastAsia="宋体" w:cs="宋体"/>
                <w:b w:val="0"/>
                <w:sz w:val="21"/>
              </w:rPr>
              <w:t>本实用新型属于骨科医疗器械，用于长管状骨（如股骨、胫骨）因力线异常或成角畸形而实施的截骨矫形。临床上通常于预定部位截断长骨，将近、远端骨段复位至目标力线后再以接骨板、髓内钉或外固定架维持。现有做法多依赖平面或楔形断面贴合及髓外固定：断端相对自由度有限，多平面成角难以一次对位到位；髓腔内又往往缺乏跨越截骨线的内在支撑，术后力线易因微动或滑移丢失。</w:t>
            </w:r>
          </w:p>
          <w:p>
            <w:pPr>
              <w:spacing w:before="0" w:after="40" w:line="276" w:lineRule="auto"/>
              <w:ind w:firstLine="0"/>
              <w:jc w:val="left"/>
            </w:pPr>
            <w:r>
              <w:rPr>
                <w:rFonts w:ascii="宋体" w:hAnsi="宋体" w:eastAsia="宋体" w:cs="宋体"/>
                <w:b/>
                <w:sz w:val="21"/>
              </w:rPr>
              <w:t>二、技术方案要点</w:t>
            </w:r>
          </w:p>
          <w:p>
            <w:pPr>
              <w:spacing w:before="0" w:after="60" w:line="276" w:lineRule="auto"/>
              <w:ind w:firstLine="420"/>
              <w:jc w:val="both"/>
            </w:pPr>
            <w:r>
              <w:rPr>
                <w:rFonts w:ascii="宋体" w:hAnsi="宋体" w:eastAsia="宋体" w:cs="宋体"/>
                <w:b w:val="0"/>
                <w:sz w:val="21"/>
              </w:rPr>
              <w:t>独立权利要求保护一种骨假体，包括第一假体和第二假体。第一假体包括第一髓内柄及设于其一端的第一连接部；第二假体包括第二髓内柄及第二连接部。第一连接部与第二连接部中的一者设外球面，另一者设与之相适配的内球面，二者构成可相对转动的球面副，两假体经该球面副相互连接。第一髓内柄与第二髓内柄自球面副向相反两侧延伸，分别用于插入截骨后两个骨段的髓腔，以调整、维持力线。</w:t>
            </w:r>
          </w:p>
          <w:p>
            <w:pPr>
              <w:spacing w:before="0" w:after="60" w:line="276" w:lineRule="auto"/>
              <w:ind w:firstLine="420"/>
              <w:jc w:val="both"/>
            </w:pPr>
            <w:r>
              <w:rPr>
                <w:rFonts w:ascii="宋体" w:hAnsi="宋体" w:eastAsia="宋体" w:cs="宋体"/>
                <w:b w:val="0"/>
                <w:sz w:val="21"/>
              </w:rPr>
              <w:t>从属权利要求进一步限定：内球面包绕角大于180°，并在开口边缘设置开口内径小于外球面最大直径的防脱唇；设有内球面的连接部开设贯通至内球面的螺纹孔，顶紧螺钉在角度调整到位后抵压外球面以实现摩擦锁定；髓内柄外表面可设轴向凸棱或凹槽，和/或设皮质锁定孔，横截面可为椭圆形、多边形或带轴向平面的类D形；假体可为空心结构并设连通内外的孔结构，外球面连接部空腔可填充骨诱导材料或人工骨粉；基体可为钛、钛合金或钴铬钼合金，骨接触面涂覆羟基磷灰石；两连接部各具朝向截骨端的支承面，髓内柄外径小于髓腔内径，连接部外径与截骨端骨外径相适配。</w:t>
            </w:r>
          </w:p>
          <w:p>
            <w:pPr>
              <w:spacing w:before="0" w:after="40" w:line="276" w:lineRule="auto"/>
              <w:ind w:firstLine="0"/>
              <w:jc w:val="left"/>
            </w:pPr>
            <w:r>
              <w:rPr>
                <w:rFonts w:ascii="宋体" w:hAnsi="宋体" w:eastAsia="宋体" w:cs="宋体"/>
                <w:b/>
                <w:sz w:val="21"/>
              </w:rPr>
              <w:t>三、预期技术效果</w:t>
            </w:r>
          </w:p>
          <w:p>
            <w:pPr>
              <w:spacing w:before="0" w:after="60" w:line="276" w:lineRule="auto"/>
              <w:ind w:firstLine="420"/>
              <w:jc w:val="both"/>
            </w:pPr>
            <w:r>
              <w:rPr>
                <w:rFonts w:ascii="宋体" w:hAnsi="宋体" w:eastAsia="宋体" w:cs="宋体"/>
                <w:b w:val="0"/>
                <w:sz w:val="21"/>
              </w:rPr>
              <w:t>术中可以球面副为枢纽，对涉及多个解剖学平面的成角作全向、精细试摆，提高矫形精度；两髓内柄经球面副将两骨段连为一体，在截骨线处形成髓内连接与支撑，有助于维持已矫正力线。说明书还给出顶紧螺钉锁定，并可跨越截骨线辅以外侧接骨板的使用方式。</w:t>
            </w:r>
          </w:p>
        </w:tc>
      </w:tr>
      <w:tr w14:paraId="1ED43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26" w:hRule="atLeast"/>
          <w:jc w:val="center"/>
        </w:trPr>
        <w:tc>
          <w:tcPr>
            <w:tcW w:w="1791" w:type="dxa"/>
            <w:vAlign w:val="center"/>
          </w:tcPr>
          <w:p w14:paraId="6B710F7A">
            <w:pPr>
              <w:jc w:val="center"/>
              <w:rPr>
                <w:rFonts w:hint="eastAsia" w:ascii="宋体" w:hAnsi="宋体" w:cs="Times New Roman" w:eastAsiaTheme="minorEastAsia"/>
                <w:b/>
                <w:bCs/>
                <w:color w:val="000000" w:themeColor="text1"/>
                <w:sz w:val="22"/>
                <w:lang w:val="en-US" w:eastAsia="zh-CN"/>
                <w14:textFill>
                  <w14:solidFill>
                    <w14:schemeClr w14:val="tx1"/>
                  </w14:solidFill>
                </w14:textFill>
              </w:rPr>
            </w:pPr>
            <w:r>
              <w:rPr>
                <w:rFonts w:hint="eastAsia" w:ascii="宋体" w:hAnsi="宋体" w:cs="宋体"/>
                <w:b/>
                <w:bCs/>
                <w:szCs w:val="21"/>
              </w:rPr>
              <w:t>文献检索调研</w:t>
            </w:r>
            <w:r>
              <w:rPr>
                <w:rFonts w:hint="eastAsia" w:ascii="宋体" w:hAnsi="宋体" w:cs="宋体"/>
                <w:b/>
                <w:bCs/>
                <w:szCs w:val="21"/>
                <w:lang w:val="en-US" w:eastAsia="zh-CN"/>
              </w:rPr>
              <w:t>报告</w:t>
            </w:r>
          </w:p>
        </w:tc>
        <w:tc>
          <w:tcPr>
            <w:tcW w:w="7079" w:type="dxa"/>
            <w:gridSpan w:val="3"/>
            <w:vAlign w:val="center"/>
          </w:tcPr>
          <w:p>
            <w:pPr>
              <w:spacing w:before="0" w:after="40" w:line="276" w:lineRule="auto"/>
              <w:ind w:firstLine="0"/>
              <w:jc w:val="left"/>
            </w:pPr>
            <w:r>
              <w:rPr>
                <w:rFonts w:ascii="宋体" w:hAnsi="宋体" w:eastAsia="宋体" w:cs="宋体"/>
                <w:b/>
                <w:sz w:val="20"/>
              </w:rPr>
              <w:t>一、检索说明</w:t>
            </w:r>
          </w:p>
          <w:p>
            <w:pPr>
              <w:spacing w:before="0" w:after="60" w:line="276" w:lineRule="auto"/>
              <w:ind w:firstLine="400"/>
              <w:jc w:val="both"/>
            </w:pPr>
            <w:r>
              <w:rPr>
                <w:rFonts w:ascii="宋体" w:hAnsi="宋体" w:eastAsia="宋体" w:cs="宋体"/>
                <w:b w:val="0"/>
                <w:sz w:val="20"/>
              </w:rPr>
              <w:t>检索日期：2026年9月14日。检索工具：Google Patents及公开专利文献转载、公开产品与临床资料。中文关键词包括：截骨矫形、截骨段骨干假体、节段性假体、髓内柄/髓针、球面副/球窝/球头/球铰、可调角度；英文关键词包括：osteotomy、spherical / ball-and-socket、intramedullary stem、diaphyseal / segmental prosthesis、deformity correction。检索范围以中国发明与实用新型为主，并抽查部分美国专利。本次为代理机构预评估公开检索，不能替代国家知识产权局检索中心或审查员检索报告。</w:t>
            </w:r>
          </w:p>
          <w:p>
            <w:pPr>
              <w:spacing w:before="0" w:after="40" w:line="276" w:lineRule="auto"/>
              <w:ind w:firstLine="0"/>
              <w:jc w:val="left"/>
            </w:pPr>
            <w:r>
              <w:rPr>
                <w:rFonts w:ascii="宋体" w:hAnsi="宋体" w:eastAsia="宋体" w:cs="宋体"/>
                <w:b/>
                <w:sz w:val="20"/>
              </w:rPr>
              <w:t>二、最接近的现有技术</w:t>
            </w:r>
          </w:p>
          <w:p>
            <w:pPr>
              <w:spacing w:before="0" w:after="60" w:line="276" w:lineRule="auto"/>
              <w:ind w:firstLine="400"/>
              <w:jc w:val="both"/>
            </w:pPr>
            <w:r>
              <w:rPr>
                <w:rFonts w:ascii="宋体" w:hAnsi="宋体" w:eastAsia="宋体" w:cs="宋体"/>
                <w:b w:val="0"/>
                <w:sz w:val="20"/>
              </w:rPr>
              <w:t>对比文件1：申请号CN201710220674，名称《套管式截骨段骨干假体》，申请人为四川大学华西医院。公开第一假体（髓内柄a+带盲孔连接块）、第二假体（髓内柄b+锥形插头）及梯形补片。两髓内柄分别插入截骨段上、下髓腔，中间为同轴套管/插头固定，用于截骨段骨干重建，连接后相对角度固定，不能绕球心作全向成角调节。</w:t>
            </w:r>
          </w:p>
          <w:p>
            <w:pPr>
              <w:spacing w:before="0" w:after="60" w:line="276" w:lineRule="auto"/>
              <w:ind w:firstLine="400"/>
              <w:jc w:val="both"/>
            </w:pPr>
            <w:r>
              <w:rPr>
                <w:rFonts w:ascii="宋体" w:hAnsi="宋体" w:eastAsia="宋体" w:cs="宋体"/>
                <w:b w:val="0"/>
                <w:sz w:val="20"/>
              </w:rPr>
              <w:t>对比文件2：申请号CN201821514752，名称《截骨段骨干假体》，申请人为北京市春立正达医疗器械股份有限公司。第一、第二假体各含髓内柄与截骨段，相对端以限位结构扣合，再用螺钉等连接组件固定；髓内柄与截骨段同轴，柄外可设条形槽。用于骨干中段肿瘤或粉碎性骨折的节段替代，组装后相对角度固定。</w:t>
            </w:r>
          </w:p>
          <w:p>
            <w:pPr>
              <w:spacing w:before="0" w:after="60" w:line="276" w:lineRule="auto"/>
              <w:ind w:firstLine="400"/>
              <w:jc w:val="both"/>
            </w:pPr>
            <w:r>
              <w:rPr>
                <w:rFonts w:ascii="宋体" w:hAnsi="宋体" w:eastAsia="宋体" w:cs="宋体"/>
                <w:b w:val="0"/>
                <w:sz w:val="20"/>
              </w:rPr>
              <w:t>对比文件3：申请号CN202120581084，名称《一种截骨段骨干假体》。两假体经截骨段上的光孔/螺纹孔由连接螺钉固定，相对面可为斜面以便螺钉垂直穿入；髓内柄外表面可设防滑凸棱。仍为预定姿态下的刚性拼接，并非球面副调角。</w:t>
            </w:r>
          </w:p>
          <w:p>
            <w:pPr>
              <w:spacing w:before="0" w:after="60" w:line="276" w:lineRule="auto"/>
              <w:ind w:firstLine="400"/>
              <w:jc w:val="both"/>
            </w:pPr>
            <w:r>
              <w:rPr>
                <w:rFonts w:ascii="宋体" w:hAnsi="宋体" w:eastAsia="宋体" w:cs="宋体"/>
                <w:b w:val="0"/>
                <w:sz w:val="20"/>
              </w:rPr>
              <w:t>对比文件4：申请号CN201220425837，名称《一种用于人体长骨骨干部位的节段性假体》。两端假体带髓内柄，中间以圆锥销、盲孔及卡口/卡槽组配，用于肿瘤切除后骨干重建，连接方式为锥配插入，而非可相对转动的球面副。</w:t>
            </w:r>
          </w:p>
          <w:p>
            <w:pPr>
              <w:spacing w:before="0" w:after="60" w:line="276" w:lineRule="auto"/>
              <w:ind w:firstLine="400"/>
              <w:jc w:val="both"/>
            </w:pPr>
            <w:r>
              <w:rPr>
                <w:rFonts w:ascii="宋体" w:hAnsi="宋体" w:eastAsia="宋体" w:cs="宋体"/>
                <w:b w:val="0"/>
                <w:sz w:val="20"/>
              </w:rPr>
              <w:t>对比文件5：授权公告号CN212788788U，名称《一种四肢长骨节段性缺损组配式假体系统》（中国人民解放军空军军医大学）。采用髓内短柄、节段空心柱及解剖型固定板等实现节段缺损的髓内/髓外联合固定，不涉及以球面副对截骨后两骨段作全向调角。</w:t>
            </w:r>
          </w:p>
          <w:p>
            <w:pPr>
              <w:spacing w:before="0" w:after="60" w:line="276" w:lineRule="auto"/>
              <w:ind w:firstLine="400"/>
              <w:jc w:val="both"/>
            </w:pPr>
            <w:r>
              <w:rPr>
                <w:rFonts w:ascii="宋体" w:hAnsi="宋体" w:eastAsia="宋体" w:cs="宋体"/>
                <w:b w:val="0"/>
                <w:sz w:val="20"/>
              </w:rPr>
              <w:t>对比文件6：申请号CN201721357109，名称《连接结构》。用于肩关节假体：第一连接件端面内凹形成开口直径小于球径的缩口球面凹腔，第二连接件带球形结构，并可配合涨塞。该球面配合用于关节置换的连接与防脱，并非将两根方向相反的髓内柄分别插入截骨后两个骨段以调整力线。</w:t>
            </w:r>
          </w:p>
          <w:p>
            <w:pPr>
              <w:spacing w:before="0" w:after="60" w:line="276" w:lineRule="auto"/>
              <w:ind w:firstLine="400"/>
              <w:jc w:val="both"/>
            </w:pPr>
            <w:r>
              <w:rPr>
                <w:rFonts w:ascii="宋体" w:hAnsi="宋体" w:eastAsia="宋体" w:cs="宋体"/>
                <w:b w:val="0"/>
                <w:sz w:val="20"/>
              </w:rPr>
              <w:t>对比文件7：CN105411726A / CN205322552U，《分段可调节式人工髋关节假体》。股骨髓内柄、延伸端与髋臼球状体之间铰连或绞连，用于术中调节颈干角、前倾角，属于髋关节置换，不是截骨矫形场景下连接两个骨段的双柄假体。</w:t>
            </w:r>
          </w:p>
          <w:p>
            <w:pPr>
              <w:spacing w:before="0" w:after="60" w:line="276" w:lineRule="auto"/>
              <w:ind w:firstLine="400"/>
              <w:jc w:val="both"/>
            </w:pPr>
            <w:r>
              <w:rPr>
                <w:rFonts w:ascii="宋体" w:hAnsi="宋体" w:eastAsia="宋体" w:cs="宋体"/>
                <w:b w:val="0"/>
                <w:sz w:val="20"/>
              </w:rPr>
              <w:t>对比文件8：CN102895050A，《人工肩关节假体》。假体柄上端面设球窝，连接颈带膨胀球，与球窝构成球铰，膨胀螺钉锁定角度，用于肩关节置换中颈干方向的调节与锁定。</w:t>
            </w:r>
          </w:p>
          <w:p>
            <w:pPr>
              <w:spacing w:before="0" w:after="60" w:line="276" w:lineRule="auto"/>
              <w:ind w:firstLine="400"/>
              <w:jc w:val="both"/>
            </w:pPr>
            <w:r>
              <w:rPr>
                <w:rFonts w:ascii="宋体" w:hAnsi="宋体" w:eastAsia="宋体" w:cs="宋体"/>
                <w:b w:val="0"/>
                <w:sz w:val="20"/>
              </w:rPr>
              <w:t>对比文件9：US10045854B2等，《Joint or segmental bone implant for deformity correction》。在踝关节修整后的凹面上放置球形多孔植入物，髓内钉穿过该球体将胫距（及跟骨）融合。球体与骨面配合而非两假体之间的可锁定球面副，且为单根髓内钉贯穿，与本案“两柄反向插入两骨段、中间球面副调角”不同。</w:t>
            </w:r>
          </w:p>
          <w:p>
            <w:pPr>
              <w:spacing w:before="0" w:after="60" w:line="276" w:lineRule="auto"/>
              <w:ind w:firstLine="400"/>
              <w:jc w:val="both"/>
            </w:pPr>
            <w:r>
              <w:rPr>
                <w:rFonts w:ascii="宋体" w:hAnsi="宋体" w:eastAsia="宋体" w:cs="宋体"/>
                <w:b w:val="0"/>
                <w:sz w:val="20"/>
              </w:rPr>
              <w:t>对比文件10：CN105147378A，《一种腓骨段切截骨术后拉近两侧腓骨的装置》。近、远端中空髓内钉以内壁反向螺纹配合中部拉杆，实现轴向靠拢，不能对两骨段作全向成角调节。</w:t>
            </w:r>
          </w:p>
          <w:p>
            <w:pPr>
              <w:spacing w:before="0" w:after="60" w:line="276" w:lineRule="auto"/>
              <w:ind w:firstLine="400"/>
              <w:jc w:val="both"/>
            </w:pPr>
            <w:r>
              <w:rPr>
                <w:rFonts w:ascii="宋体" w:hAnsi="宋体" w:eastAsia="宋体" w:cs="宋体"/>
                <w:b w:val="0"/>
                <w:sz w:val="20"/>
              </w:rPr>
              <w:t>其他：可调角度胫骨截骨板、股骨远端截骨导向器、髋臼截骨导板等属于髓外导向或接骨板固定，与本案髓内球面副假体不属于同一具体结构。市售长段骨缺损修复假体（如国械注准20243132306，截骨段+髓针A/B等）用于肿瘤等原因造成的骨干节段性缺损重建，目标是填充缺损并刚性连接，一般不提供术中全向成角调节。</w:t>
            </w:r>
          </w:p>
          <w:p>
            <w:pPr>
              <w:spacing w:before="0" w:after="40" w:line="276" w:lineRule="auto"/>
              <w:ind w:firstLine="0"/>
              <w:jc w:val="left"/>
            </w:pPr>
            <w:r>
              <w:rPr>
                <w:rFonts w:ascii="宋体" w:hAnsi="宋体" w:eastAsia="宋体" w:cs="宋体"/>
                <w:b/>
                <w:sz w:val="20"/>
              </w:rPr>
              <w:t>三、特征对比与检索结论</w:t>
            </w:r>
          </w:p>
          <w:p>
            <w:pPr>
              <w:spacing w:before="0" w:after="60" w:line="276" w:lineRule="auto"/>
              <w:ind w:firstLine="400"/>
              <w:jc w:val="both"/>
            </w:pPr>
            <w:r>
              <w:rPr>
                <w:rFonts w:ascii="宋体" w:hAnsi="宋体" w:eastAsia="宋体" w:cs="宋体"/>
                <w:b w:val="0"/>
                <w:sz w:val="20"/>
              </w:rPr>
              <w:t>本申请独立权利要求相对于对比文件1—5的主要区别在于：两连接部以外球面与内球面构成可相对转动的球面副，使两髓内柄（及两骨段）可绕球心改变相对角度，服务于截骨矫形术中的力线调整与维持，而非节段骨缺损的同轴刚性重建。对比文件6—8虽公开球窝/球面及顶紧、涨塞类锁定，但用于关节置换的活动度或颈干角调节，未公开“两髓内柄自球面副向相反两侧延伸并分别插入截骨后两骨段髓腔”这一结构组合。对比文件9、10亦未公开该组合。</w:t>
            </w:r>
          </w:p>
          <w:p>
            <w:pPr>
              <w:spacing w:before="0" w:after="60" w:line="276" w:lineRule="auto"/>
              <w:ind w:firstLine="400"/>
              <w:jc w:val="both"/>
            </w:pPr>
            <w:r>
              <w:rPr>
                <w:rFonts w:ascii="宋体" w:hAnsi="宋体" w:eastAsia="宋体" w:cs="宋体"/>
                <w:b w:val="0"/>
                <w:sz w:val="20"/>
              </w:rPr>
              <w:t>在目前公开检索范围内，未发现与本申请独立权利要求技术方案完全相同的文献，初步认为具备新颖性。创造性方面，骨干假体“双髓内柄+中间连接”与关节假体“球面副+顶紧/涨塞锁定”分属已知技术，存在被评“已知手段结合”的风险；但结合的具体场景为截骨矫形的全向调角并形成髓内跨越支撑，配套包绕角大于180°、防脱唇、顶紧锁定等，对实用新型“实质性特点和进步”的要求通常可以成立。若改走发明专利，创造性论证压力明显增大。建议在正式提交前，由代理人再以CNIPA专利检索及分析系统按IPC（A61F2/28、A61F2/30、A61B17/72等）补做一次检索。</w:t>
            </w:r>
          </w:p>
        </w:tc>
      </w:tr>
      <w:tr w14:paraId="38DA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26" w:hRule="atLeast"/>
          <w:jc w:val="center"/>
        </w:trPr>
        <w:tc>
          <w:tcPr>
            <w:tcW w:w="1791" w:type="dxa"/>
            <w:vAlign w:val="center"/>
          </w:tcPr>
          <w:p w14:paraId="413617ED">
            <w:pPr>
              <w:jc w:val="center"/>
              <w:rPr>
                <w:rFonts w:hint="eastAsia" w:ascii="宋体" w:hAnsi="宋体" w:eastAsia="宋体" w:cs="Times New Roman"/>
                <w:b/>
                <w:bCs/>
                <w:color w:val="000000" w:themeColor="text1"/>
                <w:sz w:val="22"/>
                <w14:textFill>
                  <w14:solidFill>
                    <w14:schemeClr w14:val="tx1"/>
                  </w14:solidFill>
                </w14:textFill>
              </w:rPr>
            </w:pPr>
            <w:r>
              <w:rPr>
                <w:rFonts w:hint="eastAsia" w:ascii="宋体" w:hAnsi="宋体" w:cs="宋体"/>
                <w:b/>
                <w:bCs/>
                <w:szCs w:val="21"/>
              </w:rPr>
              <w:t>应用前景等情况说明</w:t>
            </w:r>
          </w:p>
        </w:tc>
        <w:tc>
          <w:tcPr>
            <w:tcW w:w="7079" w:type="dxa"/>
            <w:gridSpan w:val="3"/>
            <w:vAlign w:val="center"/>
          </w:tcPr>
          <w:p>
            <w:pPr>
              <w:spacing w:before="0" w:after="40" w:line="276" w:lineRule="auto"/>
              <w:ind w:firstLine="0"/>
              <w:jc w:val="left"/>
            </w:pPr>
            <w:r>
              <w:rPr>
                <w:rFonts w:ascii="宋体" w:hAnsi="宋体" w:eastAsia="宋体" w:cs="宋体"/>
                <w:b/>
                <w:sz w:val="21"/>
              </w:rPr>
              <w:t>一、临床需求</w:t>
            </w:r>
          </w:p>
          <w:p>
            <w:pPr>
              <w:spacing w:before="0" w:after="60" w:line="276" w:lineRule="auto"/>
              <w:ind w:firstLine="420"/>
              <w:jc w:val="both"/>
            </w:pPr>
            <w:r>
              <w:rPr>
                <w:rFonts w:ascii="宋体" w:hAnsi="宋体" w:eastAsia="宋体" w:cs="宋体"/>
                <w:b w:val="0"/>
                <w:sz w:val="21"/>
              </w:rPr>
              <w:t>股骨、胫骨等长管状骨因创伤、发育、代谢性骨病或力线异常需作截骨矫形的病例在矫形骨科中较为常见。国内大宗肢体畸形矫形资料显示，下肢畸形占绝大多数，截骨术为主要术式之一（例如秦泗河团队数万例统计中股骨髁上截骨、胫腓骨截骨占比较高；另有全国肢体畸形数据库报道截骨约占干预的两成左右）。现有胫骨高位截骨、股骨远端截骨、接骨板、髓内钉以及Ilizarov/Taylor外固定可完成多数单平面或可规划矫形，但对同时具有多个解剖学平面分量的成角，术中精细全向微调仍较多依赖术者经验；外固定则存在佩戴周期长、针道护理负担重等问题。本案在截骨端提供可试摆、可锁定的球面枢纽，并在髓腔内将两骨段连成一体，对复杂成角、需要反复比对力线的病例具有补充价值。</w:t>
            </w:r>
          </w:p>
          <w:p>
            <w:pPr>
              <w:spacing w:before="0" w:after="40" w:line="276" w:lineRule="auto"/>
              <w:ind w:firstLine="0"/>
              <w:jc w:val="left"/>
            </w:pPr>
            <w:r>
              <w:rPr>
                <w:rFonts w:ascii="宋体" w:hAnsi="宋体" w:eastAsia="宋体" w:cs="宋体"/>
                <w:b/>
                <w:sz w:val="21"/>
              </w:rPr>
              <w:t>二、与现有产品的差异化定位</w:t>
            </w:r>
          </w:p>
          <w:p>
            <w:pPr>
              <w:spacing w:before="0" w:after="60" w:line="276" w:lineRule="auto"/>
              <w:ind w:firstLine="420"/>
              <w:jc w:val="both"/>
            </w:pPr>
            <w:r>
              <w:rPr>
                <w:rFonts w:ascii="宋体" w:hAnsi="宋体" w:eastAsia="宋体" w:cs="宋体"/>
                <w:b w:val="0"/>
                <w:sz w:val="21"/>
              </w:rPr>
              <w:t>已上市或已公开的骨干相关假体，多用于肿瘤切除、粉碎骨折后的节段性骨缺损重建，中间连接为锥配、插头或螺钉刚性固定，强调重建长度与连接强度，而非术中连续调节力线。常规截骨矫形则主要使用接骨板、髓内钉或外固定架，髓内装置多为通长钉，本身不具备截骨间隙处的球面调角功能。因此，本案在适应证上更贴近“保留骨干、截骨后重建力线”，与节段置换假体并不完全重叠，存在一定差异化空间。</w:t>
            </w:r>
          </w:p>
          <w:p>
            <w:pPr>
              <w:spacing w:before="0" w:after="40" w:line="276" w:lineRule="auto"/>
              <w:ind w:firstLine="0"/>
              <w:jc w:val="left"/>
            </w:pPr>
            <w:r>
              <w:rPr>
                <w:rFonts w:ascii="宋体" w:hAnsi="宋体" w:eastAsia="宋体" w:cs="宋体"/>
                <w:b/>
                <w:sz w:val="21"/>
              </w:rPr>
              <w:t>三、转化与产业化约束</w:t>
            </w:r>
          </w:p>
          <w:p>
            <w:pPr>
              <w:spacing w:before="0" w:after="60" w:line="276" w:lineRule="auto"/>
              <w:ind w:firstLine="420"/>
              <w:jc w:val="both"/>
            </w:pPr>
            <w:r>
              <w:rPr>
                <w:rFonts w:ascii="宋体" w:hAnsi="宋体" w:eastAsia="宋体" w:cs="宋体"/>
                <w:b w:val="0"/>
                <w:sz w:val="21"/>
              </w:rPr>
              <w:t>本品属于植入人体的骨科内植物，按现行分类通常按第三类医疗器械管理。专利授权并不等于可上市：尚需完成材料与生物相容性、疲劳与磨损（尤其是球面副摩擦副）、灭菌验证以及必要的动物或临床试验。说明书已写明角度锁定后可辅以外侧接骨板，说明设计者亦认识到仅靠顶紧螺钉摩擦锁球可能不足以长期对抗循环载荷；内球面包绕角大于180°时的装配与防脱、金属磨屑、应力遮挡等，均需在转化阶段用实验数据回答。建议发明人同步开展样品试制与力学测试，作为后续注册和产学研合作的基础。</w:t>
            </w:r>
          </w:p>
          <w:p>
            <w:pPr>
              <w:spacing w:before="0" w:after="40" w:line="276" w:lineRule="auto"/>
              <w:ind w:firstLine="0"/>
              <w:jc w:val="left"/>
            </w:pPr>
            <w:r>
              <w:rPr>
                <w:rFonts w:ascii="宋体" w:hAnsi="宋体" w:eastAsia="宋体" w:cs="宋体"/>
                <w:b/>
                <w:sz w:val="21"/>
              </w:rPr>
              <w:t>四、对医院的知识产权与应用价值</w:t>
            </w:r>
          </w:p>
          <w:p>
            <w:pPr>
              <w:spacing w:before="0" w:after="60" w:line="276" w:lineRule="auto"/>
              <w:ind w:firstLine="420"/>
              <w:jc w:val="both"/>
            </w:pPr>
            <w:r>
              <w:rPr>
                <w:rFonts w:ascii="宋体" w:hAnsi="宋体" w:eastAsia="宋体" w:cs="宋体"/>
                <w:b w:val="0"/>
                <w:sz w:val="21"/>
              </w:rPr>
              <w:t>若以实用新型获权，可在截骨矫形髓内植入物方向形成医院专利储备，便于项目申报、对外合作及防止他人就近似“双柄+中间铰链”结构抢先布局。排他范围取决于独权能否在审查中维持；商业壁垒中等，更适合作为快速确权的实用新型，而不是指望靠一项结构专利独占整个截骨矫形市场。应用前景总体评价为：临床问题真实、结构路径清楚，具备转化探索价值，但市场规模取决于后续能否证明较钢板/外固定有可重复的精度与稳定性优势。</w:t>
            </w:r>
          </w:p>
        </w:tc>
      </w:tr>
      <w:tr w14:paraId="68BAA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26" w:hRule="atLeast"/>
          <w:jc w:val="center"/>
        </w:trPr>
        <w:tc>
          <w:tcPr>
            <w:tcW w:w="1791" w:type="dxa"/>
            <w:vAlign w:val="center"/>
          </w:tcPr>
          <w:p w14:paraId="213F16FB">
            <w:pPr>
              <w:jc w:val="center"/>
              <w:rPr>
                <w:rFonts w:hint="eastAsia" w:ascii="宋体" w:hAnsi="宋体" w:cs="宋体"/>
                <w:b/>
                <w:bCs/>
                <w:szCs w:val="21"/>
              </w:rPr>
            </w:pPr>
            <w:r>
              <w:rPr>
                <w:rFonts w:hint="eastAsia" w:ascii="宋体" w:hAnsi="宋体" w:cs="宋体"/>
                <w:b/>
                <w:bCs/>
                <w:szCs w:val="21"/>
              </w:rPr>
              <w:t>专利初评意见（新颖性、创造性等）</w:t>
            </w:r>
          </w:p>
        </w:tc>
        <w:tc>
          <w:tcPr>
            <w:tcW w:w="7079" w:type="dxa"/>
            <w:gridSpan w:val="3"/>
            <w:vAlign w:val="center"/>
          </w:tcPr>
          <w:p>
            <w:pPr>
              <w:spacing w:before="0" w:after="40" w:line="276" w:lineRule="auto"/>
              <w:ind w:firstLine="0"/>
              <w:jc w:val="left"/>
            </w:pPr>
            <w:r>
              <w:rPr>
                <w:rFonts w:ascii="宋体" w:hAnsi="宋体" w:eastAsia="宋体" w:cs="宋体"/>
                <w:b/>
                <w:sz w:val="20"/>
              </w:rPr>
              <w:t>一、新颖性（8/10）</w:t>
            </w:r>
          </w:p>
          <w:p>
            <w:pPr>
              <w:spacing w:before="0" w:after="60" w:line="276" w:lineRule="auto"/>
              <w:ind w:firstLine="400"/>
              <w:jc w:val="both"/>
            </w:pPr>
            <w:r>
              <w:rPr>
                <w:rFonts w:ascii="宋体" w:hAnsi="宋体" w:eastAsia="宋体" w:cs="宋体"/>
                <w:b w:val="0"/>
                <w:sz w:val="20"/>
              </w:rPr>
              <w:t>对照专利法第22条第2款及《专利审查指南》关于实用新型新颖性的规定：判断基准为是否存在同样的技术方案。目前公开检索未发现同时具备以下特征的相同发明：第一、第二假体；各含髓内柄与连接部；连接部以外球面、内球面构成可相对转动的球面副；两髓内柄自球面副向相反两侧延伸并分别插入截骨后两骨段髓腔以调整、维持力线。最接近的截骨段骨干假体（对比文件1—3）为同轴刚性连接，关节球铰类文献（对比文件6—8）不用于连接两个截骨骨段。初步结论：独立权利要求具备新颖性。</w:t>
            </w:r>
          </w:p>
          <w:p>
            <w:pPr>
              <w:spacing w:before="0" w:after="40" w:line="276" w:lineRule="auto"/>
              <w:ind w:firstLine="0"/>
              <w:jc w:val="left"/>
            </w:pPr>
            <w:r>
              <w:rPr>
                <w:rFonts w:ascii="宋体" w:hAnsi="宋体" w:eastAsia="宋体" w:cs="宋体"/>
                <w:b/>
                <w:sz w:val="20"/>
              </w:rPr>
              <w:t>二、创造性（6/10）</w:t>
            </w:r>
          </w:p>
          <w:p>
            <w:pPr>
              <w:spacing w:before="0" w:after="60" w:line="276" w:lineRule="auto"/>
              <w:ind w:firstLine="400"/>
              <w:jc w:val="both"/>
            </w:pPr>
            <w:r>
              <w:rPr>
                <w:rFonts w:ascii="宋体" w:hAnsi="宋体" w:eastAsia="宋体" w:cs="宋体"/>
                <w:b w:val="0"/>
                <w:sz w:val="20"/>
              </w:rPr>
              <w:t>实用新型创造性要求“实质性特点和进步”，标准低于发明专利的“突出的实质性特点和显著的进步”。（1）最接近现有技术可定为对比文件1或2所示“双髓内柄+中间连接件”的截骨段骨干假体；区别特征主要是将中间刚性连接改为可相对转动的球面副。（2）该区别使术中可对多平面成角进行全向微调，并在髓内维持力线，实际解决的技术问题可概括为：如何在截骨矫形中同时实现全向角度调节与跨越截骨线的髓内支撑。（3）球面副、包绕角大于180°防脱、顶紧螺钉锁球，在机械结构和关节假体中属于惯用手段，将之移植到骨干假体的中间连接，对本领域技术人员并非完全没有启示。因此，若作为发明专利审查，存在“已知手段结合”的评述风险。（4）但应用场景由节段缺损刚性重建或关节置换，转为截骨矫形可调力线；结构上两柄反向插入两骨段、球面副位于截骨间隙，效果上同时对应“调角难”和“髓内缺乏支撑”两个问题，具备实用新型意义上的实质性特点和进步。从权中的防脱唇、柄部防转、支承面与骨外径适配等可作为退守。综合评分6分。</w:t>
            </w:r>
          </w:p>
          <w:p>
            <w:pPr>
              <w:spacing w:before="0" w:after="40" w:line="276" w:lineRule="auto"/>
              <w:ind w:firstLine="0"/>
              <w:jc w:val="left"/>
            </w:pPr>
            <w:r>
              <w:rPr>
                <w:rFonts w:ascii="宋体" w:hAnsi="宋体" w:eastAsia="宋体" w:cs="宋体"/>
                <w:b/>
                <w:sz w:val="20"/>
              </w:rPr>
              <w:t>三、实用性（8/10）</w:t>
            </w:r>
          </w:p>
          <w:p>
            <w:pPr>
              <w:spacing w:before="0" w:after="60" w:line="276" w:lineRule="auto"/>
              <w:ind w:firstLine="400"/>
              <w:jc w:val="both"/>
            </w:pPr>
            <w:r>
              <w:rPr>
                <w:rFonts w:ascii="宋体" w:hAnsi="宋体" w:eastAsia="宋体" w:cs="宋体"/>
                <w:b w:val="0"/>
                <w:sz w:val="20"/>
              </w:rPr>
              <w:t>方案为具体机械结构，可用常规金属加工或增材制造实现，能够在截骨矫形手术中产生调角与支撑的技术效果，符合专利法第22条第4款实用性。需要说明的是：仅靠顶紧螺钉摩擦锁定球面副，在体内循环载荷下存在松动可能，说明书已设计接骨板辅助固定，故实用性成立，但产品长期可靠性有赖后续力学验证，不影响本项专利申请的实用性判断。</w:t>
            </w:r>
          </w:p>
          <w:p>
            <w:pPr>
              <w:spacing w:before="0" w:after="40" w:line="276" w:lineRule="auto"/>
              <w:ind w:firstLine="0"/>
              <w:jc w:val="left"/>
            </w:pPr>
            <w:r>
              <w:rPr>
                <w:rFonts w:ascii="宋体" w:hAnsi="宋体" w:eastAsia="宋体" w:cs="宋体"/>
                <w:b/>
                <w:sz w:val="20"/>
              </w:rPr>
              <w:t>四、保护范围与申请文件质量（提交前建议修改）</w:t>
            </w:r>
          </w:p>
          <w:p>
            <w:pPr>
              <w:spacing w:before="0" w:after="60" w:line="276" w:lineRule="auto"/>
              <w:ind w:firstLine="400"/>
              <w:jc w:val="both"/>
            </w:pPr>
            <w:r>
              <w:rPr>
                <w:rFonts w:ascii="宋体" w:hAnsi="宋体" w:eastAsia="宋体" w:cs="宋体"/>
                <w:b w:val="0"/>
                <w:sz w:val="20"/>
              </w:rPr>
              <w:t>（1）独立权利要求未写入锁定结构，保护的是“可相对转动”的球面副连接本身；说明书实施例以顶紧螺钉锁定并辅以接骨板。若审查员认为缺少维持力线的必要技术特征，可将顶紧螺钉或等效锁定方式并入独权。现阶段作为实用新型，建议先维持较宽独权，视审查意见再定。</w:t>
            </w:r>
          </w:p>
          <w:p>
            <w:pPr>
              <w:spacing w:before="0" w:after="60" w:line="276" w:lineRule="auto"/>
              <w:ind w:firstLine="400"/>
              <w:jc w:val="both"/>
            </w:pPr>
            <w:r>
              <w:rPr>
                <w:rFonts w:ascii="宋体" w:hAnsi="宋体" w:eastAsia="宋体" w:cs="宋体"/>
                <w:b w:val="0"/>
                <w:sz w:val="20"/>
              </w:rPr>
              <w:t>（2）说明书正文混用“本发明”与“本实用新型”；具体实施方式引用“如图2所示”的颈段缩径，但附图仅有图1；附图标记9在标记说明中为顶紧螺钉，正文又将防脱唇称为“防脱唇9”。上述问题影响清楚性，应在提交前统一用语、补图或删去图2表述，并理顺标记。</w:t>
            </w:r>
          </w:p>
          <w:p>
            <w:pPr>
              <w:spacing w:before="0" w:after="60" w:line="276" w:lineRule="auto"/>
              <w:ind w:firstLine="400"/>
              <w:jc w:val="both"/>
            </w:pPr>
            <w:r>
              <w:rPr>
                <w:rFonts w:ascii="宋体" w:hAnsi="宋体" w:eastAsia="宋体" w:cs="宋体"/>
                <w:b w:val="0"/>
                <w:sz w:val="20"/>
              </w:rPr>
              <w:t>（3）颈段缩径以扩大摆角仅出现在说明书可选实施方式，未写入权利要求。若属于发明人看重的结构，建议补入从权并补图。</w:t>
            </w:r>
          </w:p>
          <w:p>
            <w:pPr>
              <w:spacing w:before="0" w:after="60" w:line="276" w:lineRule="auto"/>
              <w:ind w:firstLine="400"/>
              <w:jc w:val="both"/>
            </w:pPr>
            <w:r>
              <w:rPr>
                <w:rFonts w:ascii="宋体" w:hAnsi="宋体" w:eastAsia="宋体" w:cs="宋体"/>
                <w:b w:val="0"/>
                <w:sz w:val="20"/>
              </w:rPr>
              <w:t>（4）权利要求9引用权利要求1或7，属于择一引用，其后没有多项引用多项，引用关系形式上基本合规。权9将材料与羟基磷灰石涂层写入从权，有利于避免独权被材料特征不必要地限缩。</w:t>
            </w:r>
          </w:p>
          <w:p>
            <w:pPr>
              <w:spacing w:before="0" w:after="40" w:line="276" w:lineRule="auto"/>
              <w:ind w:firstLine="0"/>
              <w:jc w:val="left"/>
            </w:pPr>
            <w:r>
              <w:rPr>
                <w:rFonts w:ascii="宋体" w:hAnsi="宋体" w:eastAsia="宋体" w:cs="宋体"/>
                <w:b/>
                <w:sz w:val="20"/>
              </w:rPr>
              <w:t>五、非正常申请风险</w:t>
            </w:r>
          </w:p>
          <w:p>
            <w:pPr>
              <w:spacing w:before="0" w:after="60" w:line="276" w:lineRule="auto"/>
              <w:ind w:firstLine="400"/>
              <w:jc w:val="both"/>
            </w:pPr>
            <w:r>
              <w:rPr>
                <w:rFonts w:ascii="宋体" w:hAnsi="宋体" w:eastAsia="宋体" w:cs="宋体"/>
                <w:b w:val="0"/>
                <w:sz w:val="20"/>
              </w:rPr>
              <w:t>本案有明确的临床技术问题、具体部件及配合关系、附图和可实施的使用步骤，不属于无技术贡献的简单文字拼凑或明显重复申请。预评估所依据的是专利申请初稿，未见单独的样品、力学或动物实验报告。审核建议栏将按“申请文件已给出可实施的结构方案与附图，非正常申请风险较低”表述；建议发明人将设计图、试制记录或测试资料一并归档备查。总体风险较低。</w:t>
            </w:r>
          </w:p>
          <w:p>
            <w:pPr>
              <w:spacing w:before="0" w:after="40" w:line="276" w:lineRule="auto"/>
              <w:ind w:firstLine="0"/>
              <w:jc w:val="left"/>
            </w:pPr>
            <w:r>
              <w:rPr>
                <w:rFonts w:ascii="宋体" w:hAnsi="宋体" w:eastAsia="宋体" w:cs="宋体"/>
                <w:b/>
                <w:sz w:val="20"/>
              </w:rPr>
              <w:t>六、申请类型与快速通道</w:t>
            </w:r>
          </w:p>
          <w:p>
            <w:pPr>
              <w:spacing w:before="0" w:after="60" w:line="276" w:lineRule="auto"/>
              <w:ind w:firstLine="400"/>
              <w:jc w:val="both"/>
            </w:pPr>
            <w:r>
              <w:rPr>
                <w:rFonts w:ascii="宋体" w:hAnsi="宋体" w:eastAsia="宋体" w:cs="宋体"/>
                <w:b w:val="0"/>
                <w:sz w:val="20"/>
              </w:rPr>
              <w:t>模版注明创造性高于5分时可建议改发明。本案创造性评6分，略高于该提示线，但结合对比文件组合风险，代理人建议仍按实用新型提交，以提高授权确定性、缩短周期。不建议本次改为发明，除非发明人能补充明显区别于现有骨干假体和关节球铰的结构细节或实验数据。实用新型本身审查周期较短；优审主要针对发明。预审取决于医院是否已在相应知识产权保护中心完成主体备案。本案默认不走预审、优审；若医院有既定预审通道且希望加快，可再议。</w:t>
            </w:r>
          </w:p>
          <w:p>
            <w:pPr>
              <w:spacing w:before="0" w:after="40" w:line="276" w:lineRule="auto"/>
              <w:ind w:firstLine="0"/>
              <w:jc w:val="left"/>
            </w:pPr>
            <w:r>
              <w:rPr>
                <w:rFonts w:ascii="宋体" w:hAnsi="宋体" w:eastAsia="宋体" w:cs="宋体"/>
                <w:b/>
                <w:sz w:val="20"/>
              </w:rPr>
              <w:t>七、结论</w:t>
            </w:r>
          </w:p>
          <w:p>
            <w:pPr>
              <w:spacing w:before="0" w:after="60" w:line="276" w:lineRule="auto"/>
              <w:ind w:firstLine="400"/>
              <w:jc w:val="both"/>
            </w:pPr>
            <w:r>
              <w:rPr>
                <w:rFonts w:ascii="宋体" w:hAnsi="宋体" w:eastAsia="宋体" w:cs="宋体"/>
                <w:b w:val="0"/>
                <w:sz w:val="20"/>
              </w:rPr>
              <w:t>推荐提交本实用新型专利申请。新颖性8分、创造性6分、实用性8分，实用新型授权概率较高。建议在提交前完成说明书“本发明/本实用新型”统一、图2与附图标记9的清理，并请发明人确认发明人名单、联系人及有无共同权利人。</w:t>
            </w:r>
          </w:p>
        </w:tc>
      </w:tr>
      <w:tr w14:paraId="4F71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26" w:hRule="atLeast"/>
          <w:jc w:val="center"/>
        </w:trPr>
        <w:tc>
          <w:tcPr>
            <w:tcW w:w="1791" w:type="dxa"/>
            <w:vAlign w:val="center"/>
          </w:tcPr>
          <w:p w14:paraId="0CF302BE">
            <w:pPr>
              <w:jc w:val="center"/>
              <w:rPr>
                <w:rFonts w:hint="default" w:ascii="宋体" w:hAnsi="宋体" w:cs="宋体" w:eastAsiaTheme="minorEastAsia"/>
                <w:b/>
                <w:bCs/>
                <w:szCs w:val="21"/>
                <w:lang w:val="en-US" w:eastAsia="zh-CN"/>
              </w:rPr>
            </w:pPr>
            <w:r>
              <w:rPr>
                <w:rFonts w:hint="eastAsia" w:ascii="宋体" w:hAnsi="宋体" w:cs="宋体"/>
                <w:b/>
                <w:bCs/>
                <w:szCs w:val="21"/>
                <w:lang w:val="en-US" w:eastAsia="zh-CN"/>
              </w:rPr>
              <w:t>是否推荐本专利申请</w:t>
            </w:r>
          </w:p>
        </w:tc>
        <w:tc>
          <w:tcPr>
            <w:tcW w:w="7079" w:type="dxa"/>
            <w:gridSpan w:val="3"/>
            <w:vAlign w:val="center"/>
          </w:tcPr>
          <w:p>
            <w:pPr>
              <w:spacing w:before="0" w:after="40" w:line="276" w:lineRule="auto"/>
              <w:ind w:firstLine="0"/>
              <w:jc w:val="left"/>
            </w:pPr>
            <w:r>
              <w:rPr>
                <w:rFonts w:ascii="宋体" w:hAnsi="宋体" w:eastAsia="宋体" w:cs="宋体"/>
                <w:b/>
                <w:sz w:val="21"/>
              </w:rPr>
              <w:t>☑是     □否，理由为：_____</w:t>
            </w:r>
          </w:p>
          <w:p>
            <w:pPr>
              <w:spacing w:before="0" w:after="60" w:line="276" w:lineRule="auto"/>
              <w:ind w:firstLine="420"/>
              <w:jc w:val="both"/>
            </w:pPr>
            <w:r>
              <w:rPr>
                <w:rFonts w:ascii="宋体" w:hAnsi="宋体" w:eastAsia="宋体" w:cs="宋体"/>
                <w:b w:val="0"/>
                <w:sz w:val="21"/>
              </w:rPr>
              <w:t>推荐提交实用新型。理由：公开检索未见与独权完全相同的技术方案，具备新颖性；相对现有截骨段骨干假体增加了球面副全向调角，具备实用新型创造性；结构可制造、可实施。提交前请按初评意见清理说明书图号与标记。</w:t>
            </w:r>
          </w:p>
        </w:tc>
      </w:tr>
      <w:tr w14:paraId="2A1DA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26" w:hRule="atLeast"/>
          <w:jc w:val="center"/>
        </w:trPr>
        <w:tc>
          <w:tcPr>
            <w:tcW w:w="1791" w:type="dxa"/>
            <w:vAlign w:val="center"/>
          </w:tcPr>
          <w:p w14:paraId="2FC25957">
            <w:pPr>
              <w:jc w:val="center"/>
              <w:rPr>
                <w:rFonts w:hint="default" w:ascii="宋体" w:hAnsi="宋体" w:cs="宋体" w:eastAsiaTheme="minorEastAsia"/>
                <w:b/>
                <w:bCs/>
                <w:szCs w:val="21"/>
                <w:lang w:val="en-US" w:eastAsia="zh-CN"/>
              </w:rPr>
            </w:pPr>
            <w:r>
              <w:rPr>
                <w:rFonts w:hint="eastAsia" w:ascii="宋体" w:hAnsi="宋体" w:cs="宋体"/>
                <w:b/>
                <w:bCs/>
                <w:szCs w:val="21"/>
                <w:lang w:val="en-US" w:eastAsia="zh-CN"/>
              </w:rPr>
              <w:t>是否走预审、优审等快速审核通道</w:t>
            </w:r>
          </w:p>
        </w:tc>
        <w:tc>
          <w:tcPr>
            <w:tcW w:w="7079" w:type="dxa"/>
            <w:gridSpan w:val="3"/>
            <w:vAlign w:val="center"/>
          </w:tcPr>
          <w:p>
            <w:pPr>
              <w:spacing w:before="0" w:after="40" w:line="276" w:lineRule="auto"/>
              <w:ind w:firstLine="0"/>
              <w:jc w:val="left"/>
            </w:pPr>
            <w:r>
              <w:rPr>
                <w:rFonts w:ascii="宋体" w:hAnsi="宋体" w:eastAsia="宋体" w:cs="宋体"/>
                <w:b/>
                <w:sz w:val="21"/>
              </w:rPr>
              <w:t>☑否     □是：□优审  □预审  □其他：_____</w:t>
            </w:r>
          </w:p>
          <w:p>
            <w:pPr>
              <w:spacing w:before="0" w:after="60" w:line="276" w:lineRule="auto"/>
              <w:ind w:firstLine="420"/>
              <w:jc w:val="both"/>
            </w:pPr>
            <w:r>
              <w:rPr>
                <w:rFonts w:ascii="宋体" w:hAnsi="宋体" w:eastAsia="宋体" w:cs="宋体"/>
                <w:b w:val="0"/>
                <w:sz w:val="21"/>
              </w:rPr>
              <w:t>实用新型审查周期相对较短，优审主要适用于发明。预审需以医院是否已在相应知识产权保护中心备案为前提。本案默认不走快速通道；若医院有既定预审安排，可再行启动。</w:t>
            </w:r>
          </w:p>
        </w:tc>
      </w:tr>
      <w:tr w14:paraId="0AE5F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26" w:hRule="atLeast"/>
          <w:jc w:val="center"/>
        </w:trPr>
        <w:tc>
          <w:tcPr>
            <w:tcW w:w="1791" w:type="dxa"/>
            <w:vAlign w:val="center"/>
          </w:tcPr>
          <w:p w14:paraId="63FD5D18">
            <w:pPr>
              <w:jc w:val="center"/>
              <w:rPr>
                <w:rFonts w:hint="eastAsia" w:ascii="宋体" w:hAnsi="宋体" w:cs="宋体"/>
                <w:b/>
                <w:bCs/>
                <w:szCs w:val="21"/>
                <w:lang w:val="en-US" w:eastAsia="zh-CN"/>
              </w:rPr>
            </w:pPr>
            <w:r>
              <w:rPr>
                <w:rFonts w:hint="eastAsia" w:ascii="宋体" w:hAnsi="宋体" w:cs="宋体"/>
                <w:b/>
                <w:bCs/>
                <w:szCs w:val="21"/>
                <w:lang w:val="en-US" w:eastAsia="zh-CN"/>
              </w:rPr>
              <w:t>审核建议</w:t>
            </w:r>
          </w:p>
          <w:p w14:paraId="7A7FC265">
            <w:pPr>
              <w:jc w:val="center"/>
              <w:rPr>
                <w:rFonts w:hint="eastAsia" w:ascii="宋体" w:hAnsi="宋体" w:cs="宋体"/>
                <w:b/>
                <w:bCs/>
                <w:szCs w:val="21"/>
                <w:lang w:val="en-US" w:eastAsia="zh-CN"/>
              </w:rPr>
            </w:pPr>
            <w:r>
              <w:rPr>
                <w:rFonts w:hint="eastAsia" w:ascii="宋体" w:hAnsi="宋体" w:cs="宋体"/>
                <w:b/>
                <w:bCs/>
                <w:szCs w:val="21"/>
                <w:lang w:val="en-US" w:eastAsia="zh-CN"/>
              </w:rPr>
              <w:t>注:满分10分制下，创造性评分高于5分的，建议发明人申请发明专利。</w:t>
            </w:r>
          </w:p>
          <w:p w14:paraId="5063E5D7">
            <w:pPr>
              <w:jc w:val="center"/>
              <w:rPr>
                <w:rFonts w:hint="default" w:ascii="宋体" w:hAnsi="宋体" w:cs="宋体"/>
                <w:b/>
                <w:bCs/>
                <w:szCs w:val="21"/>
                <w:lang w:val="en-US" w:eastAsia="zh-CN"/>
              </w:rPr>
            </w:pPr>
          </w:p>
        </w:tc>
        <w:tc>
          <w:tcPr>
            <w:tcW w:w="7079" w:type="dxa"/>
            <w:gridSpan w:val="3"/>
            <w:vAlign w:val="center"/>
          </w:tcPr>
          <w:p>
            <w:pPr>
              <w:spacing w:before="0" w:after="80" w:line="276" w:lineRule="auto"/>
              <w:ind w:firstLine="420"/>
              <w:jc w:val="both"/>
            </w:pPr>
            <w:r>
              <w:rPr>
                <w:rFonts w:ascii="宋体" w:hAnsi="宋体" w:eastAsia="宋体" w:cs="宋体"/>
                <w:b w:val="0"/>
                <w:sz w:val="21"/>
              </w:rPr>
              <w:t>我事务所代理贵院发明人（待发明人确认）的专利申请“一种用于截骨矫形的骨假体”，我方认为该专利申请从新颖性（8分）、创造性（6分）、实用性（8分）等角度考虑，其作为实用新型的授权概率较高；申请文件已给出可实施的结构方案与附图，目前评估其属于“非正常专利申请”的风险较低。创造性虽评6分、略高于“高于5分可考虑发明”的提示线，但现有骨干假体双柄结构与关节球面副分属已知手段，改走发明的创造性风险较大，故建议仍按实用新型提交。因此，我方建议提交该专利的申请。</w:t>
            </w:r>
          </w:p>
          <w:p>
            <w:pPr>
              <w:spacing w:before="0" w:after="60" w:line="276" w:lineRule="auto"/>
              <w:ind w:firstLine="420"/>
              <w:jc w:val="both"/>
            </w:pPr>
            <w:r>
              <w:rPr>
                <w:rFonts w:ascii="宋体" w:hAnsi="宋体" w:eastAsia="宋体" w:cs="宋体"/>
                <w:b w:val="0"/>
                <w:sz w:val="21"/>
              </w:rPr>
              <w:t>评分一览：新颖性8/10，创造性6/10，实用性8/10。评估日期：2026年9月14日。依据文件：《【初稿】PA26-0865-U-A-实用新型-湘雅二医院-一种用于截骨矫形的骨假体》。</w:t>
            </w:r>
          </w:p>
        </w:tc>
      </w:tr>
      <w:tr w14:paraId="67A45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422" w:hRule="atLeast"/>
          <w:jc w:val="center"/>
        </w:trPr>
        <w:tc>
          <w:tcPr>
            <w:tcW w:w="1791" w:type="dxa"/>
            <w:vAlign w:val="center"/>
          </w:tcPr>
          <w:p w14:paraId="09DBF48F">
            <w:pPr>
              <w:jc w:val="center"/>
              <w:rPr>
                <w:rFonts w:hint="default" w:ascii="宋体" w:hAnsi="宋体" w:cs="宋体"/>
                <w:b/>
                <w:bCs/>
                <w:szCs w:val="21"/>
                <w:lang w:val="en-US" w:eastAsia="zh-CN"/>
              </w:rPr>
            </w:pPr>
          </w:p>
        </w:tc>
        <w:tc>
          <w:tcPr>
            <w:tcW w:w="7079" w:type="dxa"/>
            <w:gridSpan w:val="3"/>
            <w:vAlign w:val="center"/>
          </w:tcPr>
          <w:p w14:paraId="379183C4">
            <w:pPr>
              <w:jc w:val="left"/>
              <w:rPr>
                <w:rFonts w:hint="eastAsia"/>
              </w:rPr>
            </w:pPr>
            <w:r>
              <w:rPr>
                <w:rFonts w:hint="eastAsia"/>
                <w:lang w:val="en-US" w:eastAsia="zh-CN"/>
              </w:rPr>
              <w:t>本事务所</w:t>
            </w:r>
            <w:r>
              <w:rPr>
                <w:rFonts w:hint="eastAsia"/>
              </w:rPr>
              <w:t>郑重承诺：本申请所涉及的全部材料及信息均真实、准确、完整，不存在任何虚假记载或误导性陈述。如在后续审查及办理流程中，本申请被国家知识产权局认定为“非正常专利申请”，本事务所自愿承担所有责任，与申请人无关，且保证会立即进行处理</w:t>
            </w:r>
            <w:r>
              <w:rPr>
                <w:rFonts w:hint="eastAsia"/>
                <w:lang w:eastAsia="zh-CN"/>
              </w:rPr>
              <w:t>，</w:t>
            </w:r>
            <w:r>
              <w:rPr>
                <w:rFonts w:hint="eastAsia"/>
              </w:rPr>
              <w:t>并接受医院据此对我司进行的问责与处理。</w:t>
            </w:r>
          </w:p>
          <w:p w14:paraId="5F6AC9C2">
            <w:pPr>
              <w:ind w:firstLine="5460" w:firstLineChars="2600"/>
              <w:jc w:val="left"/>
              <w:rPr>
                <w:rFonts w:hint="eastAsia"/>
                <w:lang w:val="en-US" w:eastAsia="zh-CN"/>
              </w:rPr>
            </w:pPr>
            <w:r>
              <w:rPr>
                <w:rFonts w:hint="eastAsia"/>
                <w:lang w:val="en-US" w:eastAsia="zh-CN"/>
              </w:rPr>
              <w:t>（公章）</w:t>
            </w:r>
          </w:p>
          <w:p w14:paraId="03A1C85A">
            <w:pPr>
              <w:ind w:firstLine="4620" w:firstLineChars="2200"/>
              <w:jc w:val="left"/>
              <w:rPr>
                <w:rFonts w:hint="default"/>
                <w:lang w:val="en-US" w:eastAsia="zh-CN"/>
              </w:rPr>
            </w:pPr>
            <w:r>
              <w:rPr>
                <w:rFonts w:hint="eastAsia"/>
                <w:lang w:val="en-US" w:eastAsia="zh-CN"/>
              </w:rPr>
              <w:t>日期：</w:t>
            </w:r>
          </w:p>
        </w:tc>
      </w:tr>
    </w:tbl>
    <w:p w14:paraId="34B7A556">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2227CB7"/>
    <w:rsid w:val="62227C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2026-06-29T02:08:00Z</dcterms:created>
  <dc:creator>Szy</dc:creator>
  <cp:lastModifiedBy>Szy</cp:lastModifiedBy>
  <dcterms:modified xsi:type="dcterms:W3CDTF">2026-06-29T02:09:02Z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4FA5E04D909C4C22B354FEDC287D4EB7_11</vt:lpwstr>
  </property>
  <property fmtid="{D5CDD505-2E9C-101B-9397-08002B2CF9AE}" pid="4" name="KSOTemplateDocerSaveRecord">
    <vt:lpwstr>eyJoZGlkIjoiMzU4Y2Y4Y2EwOWEzZTNiMzE4MTdlMGYyMmUxY2JlNmQiLCJ1c2VySWQiOiIyMzE0NTQ0MCJ9</vt:lpwstr>
  </property>
</Properties>
</file>