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rPr>
        <w:t>一种利用防洪检修门引水的高水头船闸过鱼系统</w:t>
      </w:r>
    </w:p>
    <w:p>
      <w:r>
        <w:rPr>
          <w:rFonts w:ascii="宋体" w:hAnsi="宋体" w:eastAsia="宋体"/>
          <w:b/>
          <w:sz w:val="24"/>
        </w:rPr>
        <w:t>（改写交底书 · 撰写用稿）</w:t>
      </w:r>
    </w:p>
    <w:p>
      <w:r>
        <w:rPr>
          <w:rFonts w:ascii="宋体" w:hAnsi="宋体" w:eastAsia="宋体"/>
          <w:b w:val="0"/>
          <w:sz w:val="24"/>
        </w:rPr>
        <w:t>说明：本稿依据客户交底书原文及附图整理。已校正原文中“溢流”与“管道引水”的矛盾，统一术语；对附图标号与文字不一致、阀位与侧支孔等未确认事项，以【待确认】标出。</w:t>
      </w:r>
    </w:p>
    <w:p>
      <w:pPr>
        <w:pStyle w:val="Heading1"/>
      </w:pPr>
      <w:r>
        <w:rPr>
          <w:rFonts w:ascii="黑体" w:hAnsi="黑体" w:eastAsia="黑体"/>
        </w:rPr>
        <w:t>一、发明名称</w:t>
      </w:r>
    </w:p>
    <w:p>
      <w:r>
        <w:rPr>
          <w:rFonts w:ascii="宋体" w:hAnsi="宋体" w:eastAsia="宋体"/>
          <w:b w:val="0"/>
          <w:sz w:val="24"/>
        </w:rPr>
        <w:t>一种利用防洪检修门引水的高水头船闸过鱼系统</w:t>
      </w:r>
    </w:p>
    <w:p>
      <w:pPr>
        <w:pStyle w:val="Heading1"/>
      </w:pPr>
      <w:r>
        <w:rPr>
          <w:rFonts w:ascii="黑体" w:hAnsi="黑体" w:eastAsia="黑体"/>
        </w:rPr>
        <w:t>二、技术领域</w:t>
      </w:r>
    </w:p>
    <w:p>
      <w:r>
        <w:rPr>
          <w:rFonts w:ascii="宋体" w:hAnsi="宋体" w:eastAsia="宋体"/>
          <w:b w:val="0"/>
          <w:sz w:val="24"/>
        </w:rPr>
        <w:t>本发明涉及水利水电工程与生态水利技术领域，具体涉及一种利用防洪检修门引水的高水头船闸过鱼系统。</w:t>
      </w:r>
    </w:p>
    <w:p>
      <w:pPr>
        <w:pStyle w:val="Heading1"/>
      </w:pPr>
      <w:r>
        <w:rPr>
          <w:rFonts w:ascii="黑体" w:hAnsi="黑体" w:eastAsia="黑体"/>
        </w:rPr>
        <w:t>三、背景技术</w:t>
      </w:r>
    </w:p>
    <w:p>
      <w:r>
        <w:rPr>
          <w:rFonts w:ascii="宋体" w:hAnsi="宋体" w:eastAsia="宋体"/>
          <w:b w:val="0"/>
          <w:sz w:val="24"/>
        </w:rPr>
        <w:t>随着水利枢纽大规模建设，河流纵向连通性被切断，鱼类洄游通道受阻，生境片段化问题日益突出。对于高水头船闸，上下游水位落差可达数十米，传统独立修建鱼道的方式存在占地大、投资高、水头消能难度大等局限，对场地受限的已建枢纽往往难以实施。</w:t>
      </w:r>
    </w:p>
    <w:p>
      <w:r>
        <w:rPr>
          <w:rFonts w:ascii="宋体" w:hAnsi="宋体" w:eastAsia="宋体"/>
          <w:b w:val="0"/>
          <w:sz w:val="24"/>
        </w:rPr>
        <w:t>船闸作为通航建筑物，具有较大体积的连通水体，具备兼顾过鱼的潜力。葛洲坝船闸、潮州供水枢纽船闸等工程已证实船闸过鱼具备可行性。但现有船闸过鱼技术多依赖船闸自身充泄水过程形成间歇水流，在高水头条件下存在以下问题：一是充泄水过程流速快、冲击大，鱼类易受惊吓，难以顺利入闸；二是闸室内缺乏持续稳定的溯游引导水流，鱼类进入闸室后易滞留，难以主动完成全程上溯；三是下游诱鱼水流分散、定向性弱，鱼类难以精准定位闸室入口，尤其在宽引航道工况下集鱼效率偏低。</w:t>
      </w:r>
    </w:p>
    <w:p>
      <w:r>
        <w:rPr>
          <w:rFonts w:ascii="宋体" w:hAnsi="宋体" w:eastAsia="宋体"/>
          <w:b w:val="0"/>
          <w:sz w:val="24"/>
        </w:rPr>
        <w:t>若为高水头船闸补充连续诱鱼水流与入口集流结构，常规方案常需新建专用引水管道或补水廊道，工程量大、造价高，且易改变船闸原有结构布局，难以在已建高水头船闸中推广。</w:t>
      </w:r>
    </w:p>
    <w:p>
      <w:r>
        <w:rPr>
          <w:rFonts w:ascii="宋体" w:hAnsi="宋体" w:eastAsia="宋体"/>
          <w:b w:val="0"/>
          <w:sz w:val="24"/>
        </w:rPr>
        <w:t>鉴于此，有必要提出一种利用防洪检修门引水的高水头船闸过鱼系统，以解决或至少缓解上述缺陷。</w:t>
      </w:r>
    </w:p>
    <w:p>
      <w:pPr>
        <w:pStyle w:val="Heading1"/>
      </w:pPr>
      <w:r>
        <w:rPr>
          <w:rFonts w:ascii="黑体" w:hAnsi="黑体" w:eastAsia="黑体"/>
        </w:rPr>
        <w:t>四、发明目的 / 拟解决的技术问题</w:t>
      </w:r>
    </w:p>
    <w:p>
      <w:r>
        <w:rPr>
          <w:rFonts w:ascii="宋体" w:hAnsi="宋体" w:eastAsia="宋体"/>
          <w:b w:val="0"/>
          <w:sz w:val="24"/>
        </w:rPr>
        <w:t>本发明的目的在于提供一种利用防洪检修门引水的高水头船闸过鱼系统，以解决现有技术中高水头船闸过鱼诱鱼水流不连续、下游入口水流分散、以及为形成连续诱鱼水流而对船闸主体改造难度大的问题。</w:t>
      </w:r>
    </w:p>
    <w:p>
      <w:pPr>
        <w:pStyle w:val="Heading1"/>
      </w:pPr>
      <w:r>
        <w:rPr>
          <w:rFonts w:ascii="黑体" w:hAnsi="黑体" w:eastAsia="黑体"/>
        </w:rPr>
        <w:t>五、技术方案</w:t>
      </w:r>
    </w:p>
    <w:p>
      <w:pPr>
        <w:pStyle w:val="Heading2"/>
      </w:pPr>
      <w:r>
        <w:rPr>
          <w:rFonts w:ascii="黑体" w:hAnsi="黑体" w:eastAsia="黑体"/>
        </w:rPr>
        <w:t>5.1 总体布置</w:t>
      </w:r>
    </w:p>
    <w:p>
      <w:r>
        <w:rPr>
          <w:rFonts w:ascii="宋体" w:hAnsi="宋体" w:eastAsia="宋体"/>
          <w:b w:val="0"/>
          <w:sz w:val="24"/>
        </w:rPr>
        <w:t>一种利用防洪检修门引水的高水头船闸过鱼系统，沿水流方向依次包括：上游引航道、上游防洪检修叠梁门、输水管、消力池、上闸门、船闸闸室、下闸门、下游检修叠梁门和下游引航道。</w:t>
      </w:r>
    </w:p>
    <w:p>
      <w:pPr>
        <w:pStyle w:val="ListBullet"/>
      </w:pPr>
      <w:r>
        <w:rPr>
          <w:rFonts w:ascii="宋体" w:hAnsi="宋体" w:eastAsia="宋体"/>
        </w:rPr>
        <w:t>上游防洪检修叠梁门为船闸既有设施（或在既有门槽内更换底节），设置于上游引航道与消力池之间；</w:t>
      </w:r>
    </w:p>
    <w:p>
      <w:pPr>
        <w:pStyle w:val="ListBullet"/>
      </w:pPr>
      <w:r>
        <w:rPr>
          <w:rFonts w:ascii="宋体" w:hAnsi="宋体" w:eastAsia="宋体"/>
        </w:rPr>
        <w:t>消力池与船闸闸室通过上闸门分隔；</w:t>
      </w:r>
    </w:p>
    <w:p>
      <w:pPr>
        <w:pStyle w:val="ListBullet"/>
      </w:pPr>
      <w:r>
        <w:rPr>
          <w:rFonts w:ascii="宋体" w:hAnsi="宋体" w:eastAsia="宋体"/>
        </w:rPr>
        <w:t>船闸闸室与下游引航道通过下闸门分隔；</w:t>
      </w:r>
    </w:p>
    <w:p>
      <w:pPr>
        <w:pStyle w:val="ListBullet"/>
      </w:pPr>
      <w:r>
        <w:rPr>
          <w:rFonts w:ascii="宋体" w:hAnsi="宋体" w:eastAsia="宋体"/>
        </w:rPr>
        <w:t>下游检修叠梁门为船闸既有设施，设置于下游引航道内；</w:t>
      </w:r>
    </w:p>
    <w:p>
      <w:pPr>
        <w:pStyle w:val="ListBullet"/>
      </w:pPr>
      <w:r>
        <w:rPr>
          <w:rFonts w:ascii="宋体" w:hAnsi="宋体" w:eastAsia="宋体"/>
        </w:rPr>
        <w:t>船闸配套设有输水廊道及对应的廊道出水阀门（可为左侧阀门、右侧阀门等）。</w:t>
      </w:r>
    </w:p>
    <w:p>
      <w:r>
        <w:rPr>
          <w:rFonts w:ascii="宋体" w:hAnsi="宋体" w:eastAsia="宋体"/>
          <w:b w:val="0"/>
          <w:sz w:val="24"/>
        </w:rPr>
        <w:t>【待确认】消力池是否专指由老船闸原闸室兼作/改建形成的水体空间；若为常规单级船闸，消力池是否可由上游门库或引渠缓冲段替代。</w:t>
      </w:r>
    </w:p>
    <w:p>
      <w:r>
        <w:rPr>
          <w:rFonts w:ascii="宋体" w:hAnsi="宋体" w:eastAsia="宋体"/>
          <w:b w:val="0"/>
          <w:sz w:val="24"/>
        </w:rPr>
        <w:t>附图对照（图1）：1—上游引航道；2—上游防洪检修叠梁门；3—输水管；4—消力池（老船闸原闸室）；5—上闸门；6—船闸闸室；7—下闸门；8—下游检修叠梁门；9—下游引航道；10—LED诱鱼灯组；11—饵料释放装置。【待确认】信息素释放装置在图1中的标号与布置位置。</w:t>
      </w:r>
    </w:p>
    <w:p>
      <w:pPr>
        <w:pStyle w:val="Heading2"/>
      </w:pPr>
      <w:r>
        <w:rPr>
          <w:rFonts w:ascii="黑体" w:hAnsi="黑体" w:eastAsia="黑体"/>
        </w:rPr>
        <w:t>5.2 上游防洪检修叠梁门与底节专用输水门</w:t>
      </w:r>
    </w:p>
    <w:p>
      <w:r>
        <w:rPr>
          <w:rFonts w:ascii="宋体" w:hAnsi="宋体" w:eastAsia="宋体"/>
          <w:b w:val="0"/>
          <w:sz w:val="24"/>
        </w:rPr>
        <w:t>上游防洪检修叠梁门组由若干节普通挡水叠梁门与一节底节专用叠梁门组成。实施例中可采用共5节：上方4节为原有普通挡水叠梁门，最下方1节为带集成输水系统的底节专用叠梁门。各节门全部落下后，在既有门槽内形成完整挡水结构；上游水体不依赖叠梁顶部溢流，而主要通过底节门内的输水管道实现可控引水。</w:t>
      </w:r>
    </w:p>
    <w:p>
      <w:pPr>
        <w:pStyle w:val="Heading3"/>
      </w:pPr>
      <w:r>
        <w:rPr>
          <w:rFonts w:ascii="黑体" w:hAnsi="黑体" w:eastAsia="黑体"/>
        </w:rPr>
        <w:t>底节专用叠梁门</w:t>
      </w:r>
    </w:p>
    <w:p>
      <w:r>
        <w:rPr>
          <w:rFonts w:ascii="宋体" w:hAnsi="宋体" w:eastAsia="宋体"/>
          <w:b w:val="0"/>
          <w:sz w:val="24"/>
        </w:rPr>
        <w:t>底节专用叠梁门为单节定制钢构件，外形尺寸与普通叠梁门一致，可嵌入原有门槽并与其余门节拼接使用。门体集成输水、控流、拦污、消能及起吊平衡功能，沿水流方向大致分为：</w:t>
      </w:r>
    </w:p>
    <w:p>
      <w:r>
        <w:rPr>
          <w:rFonts w:ascii="宋体" w:hAnsi="宋体" w:eastAsia="宋体"/>
          <w:b w:val="0"/>
          <w:sz w:val="24"/>
        </w:rPr>
        <w:t xml:space="preserve">1. 迎水侧前端组件  </w:t>
      </w:r>
    </w:p>
    <w:p>
      <w:r>
        <w:rPr>
          <w:rFonts w:ascii="宋体" w:hAnsi="宋体" w:eastAsia="宋体"/>
          <w:b w:val="0"/>
          <w:sz w:val="24"/>
        </w:rPr>
        <w:t xml:space="preserve">   沿水流方向依次设置进水口、拦污栅。【待确认】迎水侧是否另设电动流量调节球阀，或进水侧仅设拦污、控流阀集中在背水侧。</w:t>
      </w:r>
    </w:p>
    <w:p>
      <w:r>
        <w:rPr>
          <w:rFonts w:ascii="宋体" w:hAnsi="宋体" w:eastAsia="宋体"/>
          <w:b w:val="0"/>
          <w:sz w:val="24"/>
        </w:rPr>
        <w:t xml:space="preserve">2. 门体中部穿管段  </w:t>
      </w:r>
    </w:p>
    <w:p>
      <w:r>
        <w:rPr>
          <w:rFonts w:ascii="宋体" w:hAnsi="宋体" w:eastAsia="宋体"/>
          <w:b w:val="0"/>
          <w:sz w:val="24"/>
        </w:rPr>
        <w:t xml:space="preserve">   门体内设贯穿式输水主管（可为单根或多根并联，图2示出多根平行穿管实施例）；管道与门体交接处设加强肋与密封止水结构。</w:t>
      </w:r>
    </w:p>
    <w:p>
      <w:r>
        <w:rPr>
          <w:rFonts w:ascii="宋体" w:hAnsi="宋体" w:eastAsia="宋体"/>
          <w:b w:val="0"/>
          <w:sz w:val="24"/>
        </w:rPr>
        <w:t xml:space="preserve">3. 背水侧输水消能段  </w:t>
      </w:r>
    </w:p>
    <w:p>
      <w:r>
        <w:rPr>
          <w:rFonts w:ascii="宋体" w:hAnsi="宋体" w:eastAsia="宋体"/>
          <w:b w:val="0"/>
          <w:sz w:val="24"/>
        </w:rPr>
        <w:t xml:space="preserve">   设置电动流量调节球阀，并接加长输水管延伸至消力池前部；水流经管道延伸、扩散整流后平缓出流，减轻对消力池底板的冲刷。输水管由贯穿式输水主管与加长输水管共同构成。</w:t>
      </w:r>
    </w:p>
    <w:p>
      <w:r>
        <w:rPr>
          <w:rFonts w:ascii="宋体" w:hAnsi="宋体" w:eastAsia="宋体"/>
          <w:b w:val="0"/>
          <w:sz w:val="24"/>
        </w:rPr>
        <w:t xml:space="preserve">4. 起吊平衡与导向组件  </w:t>
      </w:r>
    </w:p>
    <w:p>
      <w:r>
        <w:rPr>
          <w:rFonts w:ascii="宋体" w:hAnsi="宋体" w:eastAsia="宋体"/>
          <w:b w:val="0"/>
          <w:sz w:val="24"/>
        </w:rPr>
        <w:t xml:space="preserve">   【待确认】门体迎水侧顶部设可调配重环，用于抵消背水侧管道带来的重心偏移，保证起吊过程门体竖直平稳。图2文字标号将“3”写为配重环，但三维图中该标号位置更接近迎水侧管口区域，请发明人核对并必要时重出标注图。</w:t>
      </w:r>
    </w:p>
    <w:p>
      <w:r>
        <w:rPr>
          <w:rFonts w:ascii="宋体" w:hAnsi="宋体" w:eastAsia="宋体"/>
          <w:b w:val="0"/>
          <w:sz w:val="24"/>
        </w:rPr>
        <w:t>附图对照（图2）：1—上游防洪检修叠梁门（含叠梁门体）；2—拦污栅（迎水侧管口处）；3—【待确认：配重环或迎水侧管口结构】；4—电动流量调节球阀（位于背水侧管段）。</w:t>
      </w:r>
    </w:p>
    <w:p>
      <w:pPr>
        <w:pStyle w:val="Heading2"/>
      </w:pPr>
      <w:r>
        <w:rPr>
          <w:rFonts w:ascii="黑体" w:hAnsi="黑体" w:eastAsia="黑体"/>
        </w:rPr>
        <w:t>5.3 连续溯游引导水流</w:t>
      </w:r>
    </w:p>
    <w:p>
      <w:r>
        <w:rPr>
          <w:rFonts w:ascii="宋体" w:hAnsi="宋体" w:eastAsia="宋体"/>
          <w:b w:val="0"/>
          <w:sz w:val="24"/>
        </w:rPr>
        <w:t>过鱼运行时，上游防洪检修叠梁门落下挡水，开启底节门过流路径上的电动流量调节球阀：上游水体经拦污栅进入贯穿式输水主管，经控流后由加长输水管进入消力池缓冲消能，再经开启的上闸门进入船闸闸室，形成由上游指向下游、流速相对平缓且可持续维持的溯游引导水流。鱼类在闸室内逆该水流方向向上游游动，经上闸门进入消力池；随后按运行规程关闭引水并吊离上游检修叠梁门（或打开通向上游的过鱼通道），使鱼类进入上游水域，完成上行过坝。</w:t>
      </w:r>
    </w:p>
    <w:p>
      <w:r>
        <w:rPr>
          <w:rFonts w:ascii="宋体" w:hAnsi="宋体" w:eastAsia="宋体"/>
          <w:b w:val="0"/>
          <w:sz w:val="24"/>
        </w:rPr>
        <w:t>【待确认】吊离上游检修门与关闭球阀、恢复通航的具体时序。</w:t>
      </w:r>
    </w:p>
    <w:p>
      <w:pPr>
        <w:pStyle w:val="Heading2"/>
      </w:pPr>
      <w:r>
        <w:rPr>
          <w:rFonts w:ascii="黑体" w:hAnsi="黑体" w:eastAsia="黑体"/>
        </w:rPr>
        <w:t>5.4 两条可切换的鱼类上行通道</w:t>
      </w:r>
    </w:p>
    <w:p>
      <w:r>
        <w:rPr>
          <w:rFonts w:ascii="宋体" w:hAnsi="宋体" w:eastAsia="宋体"/>
          <w:b w:val="0"/>
          <w:sz w:val="24"/>
        </w:rPr>
        <w:t>系统设置两条鱼类上行通道，可根据运行工况单独启用。</w:t>
      </w:r>
    </w:p>
    <w:p>
      <w:pPr>
        <w:pStyle w:val="Heading3"/>
      </w:pPr>
      <w:r>
        <w:rPr>
          <w:rFonts w:ascii="黑体" w:hAnsi="黑体" w:eastAsia="黑体"/>
        </w:rPr>
        <w:t>（1）输水廊道出水口进鱼通道</w:t>
      </w:r>
    </w:p>
    <w:p>
      <w:r>
        <w:rPr>
          <w:rFonts w:ascii="宋体" w:hAnsi="宋体" w:eastAsia="宋体"/>
          <w:b w:val="0"/>
          <w:sz w:val="24"/>
        </w:rPr>
        <w:t>独立开启输水廊道相应出水阀门（实施例为左侧出水阀门），使泄水/补水水流集中于该侧出水口，形成定向诱鱼水流，引导鱼类从廊道出水口进入船闸闸室。【待确认】原文“经由侧支孔进入船闸闸室”——侧支孔的位置、是否为既有孔口、与闸室的连通方式。</w:t>
      </w:r>
    </w:p>
    <w:p>
      <w:r>
        <w:rPr>
          <w:rFonts w:ascii="宋体" w:hAnsi="宋体" w:eastAsia="宋体"/>
          <w:b w:val="0"/>
          <w:sz w:val="24"/>
        </w:rPr>
        <w:t>进入闸室后，鱼类以连续溯游引导水流为主导，可叠加闸室内饵料、信息素等辅助诱导，沿水流方向持续向闸室上游游动，通过开启的上闸门进入消力池，再进入上游水域。</w:t>
      </w:r>
    </w:p>
    <w:p>
      <w:pPr>
        <w:pStyle w:val="Heading3"/>
      </w:pPr>
      <w:r>
        <w:rPr>
          <w:rFonts w:ascii="黑体" w:hAnsi="黑体" w:eastAsia="黑体"/>
        </w:rPr>
        <w:t>（2）下闸门进鱼通道</w:t>
      </w:r>
    </w:p>
    <w:p>
      <w:r>
        <w:rPr>
          <w:rFonts w:ascii="宋体" w:hAnsi="宋体" w:eastAsia="宋体"/>
          <w:b w:val="0"/>
          <w:sz w:val="24"/>
        </w:rPr>
        <w:t>落下下游引航道内的既有下游检修叠梁门，缩窄引航道过流断面，使过鱼时段的诱鱼水流相对集中；开启下闸门，在连续溯游引导水流主导下，引导下游鱼类聚集并经由下闸门口进入船闸闸室；其后路径同上，经上闸门进入消力池并进入上游水域。</w:t>
      </w:r>
    </w:p>
    <w:p>
      <w:pPr>
        <w:pStyle w:val="Heading2"/>
      </w:pPr>
      <w:r>
        <w:rPr>
          <w:rFonts w:ascii="黑体" w:hAnsi="黑体" w:eastAsia="黑体"/>
        </w:rPr>
        <w:t>5.5 诱鱼配套设施</w:t>
      </w:r>
    </w:p>
    <w:p>
      <w:r>
        <w:rPr>
          <w:rFonts w:ascii="宋体" w:hAnsi="宋体" w:eastAsia="宋体"/>
          <w:b w:val="0"/>
          <w:sz w:val="24"/>
        </w:rPr>
        <w:t>系统以连续水流诱导为核心，并可协同设置：</w:t>
      </w:r>
    </w:p>
    <w:p>
      <w:pPr>
        <w:pStyle w:val="ListBullet"/>
      </w:pPr>
      <w:r>
        <w:rPr>
          <w:rFonts w:ascii="宋体" w:hAnsi="宋体" w:eastAsia="宋体"/>
        </w:rPr>
        <w:t>下游侧（如下游导航墙处）竖向布置 LED 诱鱼灯组，利用光信号引导鱼类；</w:t>
      </w:r>
    </w:p>
    <w:p>
      <w:pPr>
        <w:pStyle w:val="ListBullet"/>
      </w:pPr>
      <w:r>
        <w:rPr>
          <w:rFonts w:ascii="宋体" w:hAnsi="宋体" w:eastAsia="宋体"/>
        </w:rPr>
        <w:t>闸室侧壁不同水深处设置可拆装的饵料缓释装置与信息素释放装置，通过食物与化学信号吸引目标鱼种。</w:t>
      </w:r>
    </w:p>
    <w:p>
      <w:r>
        <w:rPr>
          <w:rFonts w:ascii="宋体" w:hAnsi="宋体" w:eastAsia="宋体"/>
          <w:b w:val="0"/>
          <w:sz w:val="24"/>
        </w:rPr>
        <w:t>上述诱鱼装置为增强集鱼效果的配套手段，可与双通道运行组合使用。</w:t>
      </w:r>
    </w:p>
    <w:p>
      <w:pPr>
        <w:pStyle w:val="Heading1"/>
      </w:pPr>
      <w:r>
        <w:rPr>
          <w:rFonts w:ascii="黑体" w:hAnsi="黑体" w:eastAsia="黑体"/>
        </w:rPr>
        <w:t>六、具体实施例（工程场景）</w:t>
      </w:r>
    </w:p>
    <w:p>
      <w:r>
        <w:rPr>
          <w:rFonts w:ascii="宋体" w:hAnsi="宋体" w:eastAsia="宋体"/>
          <w:b w:val="0"/>
          <w:sz w:val="24"/>
        </w:rPr>
        <w:t>本实施例以沅水洪江枢纽 1000 吨级改造船闸为应用场景：上游汛限水位 187 m，正常蓄水位 190 m，下游最低通航水位 163 m，上下游最大水头差约 27 m，属于典型高水头船闸；上下游均设有既有防洪检修叠梁门与输水廊道系统。改建条件下，消力池可由老船闸原闸室兼作，船闸闸室为新建闸室。</w:t>
      </w:r>
    </w:p>
    <w:p>
      <w:r>
        <w:rPr>
          <w:rFonts w:ascii="宋体" w:hAnsi="宋体" w:eastAsia="宋体"/>
          <w:b w:val="0"/>
          <w:sz w:val="24"/>
        </w:rPr>
        <w:t>过鱼运行时，上游落下全部叠梁门（实施例为5节），水流经底节专用叠梁门管道进入消力池缓冲消能后，通过开启的上闸门进入船闸闸室，形成持续的溯游引导水流；同时按鱼情与水文条件选择廊道出水口进鱼或下闸门进鱼。</w:t>
      </w:r>
    </w:p>
    <w:p>
      <w:pPr>
        <w:pStyle w:val="Heading1"/>
      </w:pPr>
      <w:r>
        <w:rPr>
          <w:rFonts w:ascii="黑体" w:hAnsi="黑体" w:eastAsia="黑体"/>
        </w:rPr>
        <w:t>七、有益效果（与问题对应）</w:t>
      </w:r>
    </w:p>
    <w:p>
      <w:r>
        <w:rPr>
          <w:rFonts w:ascii="宋体" w:hAnsi="宋体" w:eastAsia="宋体"/>
          <w:b w:val="0"/>
          <w:sz w:val="24"/>
        </w:rPr>
        <w:t xml:space="preserve">1. 连续可控引水： 依托既有检修门槽更换/设置底节专用输水门，即可在挡水条件下形成连续、阀门可调的溯游引导水流，减轻对充泄水间歇脉冲的依赖，有利于鱼类在闸室内主动上溯。  </w:t>
      </w:r>
    </w:p>
    <w:p>
      <w:r>
        <w:rPr>
          <w:rFonts w:ascii="宋体" w:hAnsi="宋体" w:eastAsia="宋体"/>
          <w:b w:val="0"/>
          <w:sz w:val="24"/>
        </w:rPr>
        <w:t xml:space="preserve">2. 入口集流： 利用下游既有检修叠梁门缩窄过流断面，或利用输水廊道出水口集中出流，改善宽引航道下入口水流分散、集鱼效率偏低的问题。  </w:t>
      </w:r>
    </w:p>
    <w:p>
      <w:r>
        <w:rPr>
          <w:rFonts w:ascii="宋体" w:hAnsi="宋体" w:eastAsia="宋体"/>
          <w:b w:val="0"/>
          <w:sz w:val="24"/>
        </w:rPr>
        <w:t xml:space="preserve">3. 低改造代价： 主要改造集中于底节门及附属管道阀门，无需大规模新建专用引水洞或改变船闸主体布局，便于已建高水头船闸推广。  </w:t>
      </w:r>
    </w:p>
    <w:p>
      <w:r>
        <w:rPr>
          <w:rFonts w:ascii="宋体" w:hAnsi="宋体" w:eastAsia="宋体"/>
          <w:b w:val="0"/>
          <w:sz w:val="24"/>
        </w:rPr>
        <w:t>4. 工况灵活： 两条过鱼通道可切换；水流诱导为主，光、饵料、信息素为辅，适配不同鱼种与水文条件（后三者为增强效果）。</w:t>
      </w:r>
    </w:p>
    <w:p>
      <w:pPr>
        <w:pStyle w:val="Heading1"/>
      </w:pPr>
      <w:r>
        <w:rPr>
          <w:rFonts w:ascii="黑体" w:hAnsi="黑体" w:eastAsia="黑体"/>
        </w:rPr>
        <w:t>八、本发明的显著特点（交底要点归纳）</w:t>
      </w:r>
    </w:p>
    <w:p>
      <w:r>
        <w:rPr>
          <w:rFonts w:ascii="宋体" w:hAnsi="宋体" w:eastAsia="宋体"/>
          <w:b w:val="0"/>
          <w:sz w:val="24"/>
        </w:rPr>
        <w:t xml:space="preserve">1. 采用“普通挡水叠梁门 + 底节专用输水叠梁门”组合，在既有门槽内集成挡水与可控引水。  </w:t>
      </w:r>
    </w:p>
    <w:p>
      <w:r>
        <w:rPr>
          <w:rFonts w:ascii="宋体" w:hAnsi="宋体" w:eastAsia="宋体"/>
          <w:b w:val="0"/>
          <w:sz w:val="24"/>
        </w:rPr>
        <w:t xml:space="preserve">2. 底节门形成拦污—穿管—控流—加长输水—消力池消能的引水链路。  </w:t>
      </w:r>
    </w:p>
    <w:p>
      <w:r>
        <w:rPr>
          <w:rFonts w:ascii="宋体" w:hAnsi="宋体" w:eastAsia="宋体"/>
          <w:b w:val="0"/>
          <w:sz w:val="24"/>
        </w:rPr>
        <w:t xml:space="preserve">3. 构建廊道出水口进鱼与下闸门进鱼两条可切换通道。  </w:t>
      </w:r>
    </w:p>
    <w:p>
      <w:r>
        <w:rPr>
          <w:rFonts w:ascii="宋体" w:hAnsi="宋体" w:eastAsia="宋体"/>
          <w:b w:val="0"/>
          <w:sz w:val="24"/>
        </w:rPr>
        <w:t>4. 以连续水流为核心，并可耦合光、饵料、信息素多因子诱鱼。</w:t>
      </w:r>
    </w:p>
    <w:p>
      <w:pPr>
        <w:pStyle w:val="Heading1"/>
      </w:pPr>
      <w:r>
        <w:rPr>
          <w:rFonts w:ascii="黑体" w:hAnsi="黑体" w:eastAsia="黑体"/>
        </w:rPr>
        <w:t>九、附图说明</w:t>
      </w:r>
    </w:p>
    <w:p>
      <w:pPr>
        <w:pStyle w:val="ListBullet"/>
      </w:pPr>
      <w:r>
        <w:rPr>
          <w:rFonts w:ascii="宋体" w:hAnsi="宋体" w:eastAsia="宋体"/>
        </w:rPr>
        <w:t>图1 为本系统整体平面结构示意图；</w:t>
      </w:r>
    </w:p>
    <w:p>
      <w:pPr>
        <w:pStyle w:val="ListBullet"/>
      </w:pPr>
      <w:r>
        <w:rPr>
          <w:rFonts w:ascii="宋体" w:hAnsi="宋体" w:eastAsia="宋体"/>
        </w:rPr>
        <w:t>图2 为检修叠梁门及输水管三维示意图。</w:t>
      </w:r>
    </w:p>
    <w:p>
      <w:r>
        <w:rPr>
          <w:rFonts w:ascii="宋体" w:hAnsi="宋体" w:eastAsia="宋体"/>
          <w:b w:val="0"/>
          <w:sz w:val="24"/>
        </w:rPr>
        <w:t>图1中标号说明：1—上游引航道；2—上游防洪检修叠梁门；3—输水管；4—消力池（老船闸原闸室）；5—上闸门；6—船闸闸室；7—下闸门；8—下游检修叠梁门；9—下游引航道；10—LED诱鱼灯组；11—饵料释放装置。</w:t>
      </w:r>
    </w:p>
    <w:p>
      <w:r>
        <w:rPr>
          <w:rFonts w:ascii="宋体" w:hAnsi="宋体" w:eastAsia="宋体"/>
          <w:b w:val="0"/>
          <w:sz w:val="24"/>
        </w:rPr>
        <w:t>图2中标号说明：1—上游防洪检修叠梁门；2—拦污栅；3—【待确认】配重环或迎水侧管口结构；4—电动流量调节球阀。</w:t>
      </w:r>
    </w:p>
    <w:p>
      <w:r>
        <w:rPr>
          <w:rFonts w:ascii="宋体" w:hAnsi="宋体" w:eastAsia="宋体"/>
          <w:b w:val="0"/>
          <w:sz w:val="24"/>
        </w:rPr>
        <w:t>（附图文件见同目录 png / dwg；正式申请用图需由发明人按最终标号复核后提供。）</w:t>
      </w:r>
    </w:p>
    <w:p>
      <w:pPr>
        <w:pStyle w:val="Heading1"/>
      </w:pPr>
      <w:r>
        <w:rPr>
          <w:rFonts w:ascii="黑体" w:hAnsi="黑体" w:eastAsia="黑体"/>
        </w:rPr>
        <w:t>十、替代与扩展（供后续从权/说明书选用，非客户原文必有）</w:t>
      </w:r>
    </w:p>
    <w:p>
      <w:r>
        <w:rPr>
          <w:rFonts w:ascii="宋体" w:hAnsi="宋体" w:eastAsia="宋体"/>
          <w:b w:val="0"/>
          <w:sz w:val="24"/>
        </w:rPr>
        <w:t>在不脱离核心思路的前提下，可考虑披露：</w:t>
      </w:r>
    </w:p>
    <w:p>
      <w:pPr>
        <w:pStyle w:val="ListBullet"/>
      </w:pPr>
      <w:r>
        <w:rPr>
          <w:rFonts w:ascii="宋体" w:hAnsi="宋体" w:eastAsia="宋体"/>
        </w:rPr>
        <w:t>贯穿式输水管为单管或多管并联；球阀可替换为其他电动/手动流量调节阀；</w:t>
      </w:r>
    </w:p>
    <w:p>
      <w:pPr>
        <w:pStyle w:val="ListBullet"/>
      </w:pPr>
      <w:r>
        <w:rPr>
          <w:rFonts w:ascii="宋体" w:hAnsi="宋体" w:eastAsia="宋体"/>
        </w:rPr>
        <w:t>仅启用两条通道之一，或分时段组合；</w:t>
      </w:r>
    </w:p>
    <w:p>
      <w:pPr>
        <w:pStyle w:val="ListBullet"/>
      </w:pPr>
      <w:r>
        <w:rPr>
          <w:rFonts w:ascii="宋体" w:hAnsi="宋体" w:eastAsia="宋体"/>
        </w:rPr>
        <w:t>消力池为老闸室改建，或为专设缓冲池；</w:t>
      </w:r>
    </w:p>
    <w:p>
      <w:pPr>
        <w:pStyle w:val="ListBullet"/>
      </w:pPr>
      <w:r>
        <w:rPr>
          <w:rFonts w:ascii="宋体" w:hAnsi="宋体" w:eastAsia="宋体"/>
        </w:rPr>
        <w:t>诱鱼灯、饵料、信息素可单独设置或省略（视目标鱼种）。</w:t>
      </w:r>
    </w:p>
    <w:p>
      <w:r>
        <w:rPr>
          <w:rFonts w:ascii="宋体" w:hAnsi="宋体" w:eastAsia="宋体"/>
          <w:b w:val="0"/>
          <w:sz w:val="24"/>
        </w:rPr>
        <w:t>以上扩展若客户未书面确认，正式权利要求中应谨慎取舍。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