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jc w:val="center"/>
      </w:pPr>
      <w:r>
        <w:rPr>
          <w:rFonts w:ascii="Times New Roman" w:hAnsi="Times New Roman" w:eastAsia="黑体"/>
          <w:b/>
          <w:sz w:val="32"/>
        </w:rPr>
        <w:t>权  利  要  求  书</w:t>
      </w:r>
    </w:p>
    <w:p>
      <w:pPr>
        <w:spacing w:after="0" w:before="0" w:line="360" w:lineRule="auto"/>
        <w:ind w:firstLine="480"/>
        <w:jc w:val="both"/>
      </w:pPr>
      <w:r>
        <w:rPr>
          <w:rFonts w:ascii="Times New Roman" w:hAnsi="Times New Roman" w:eastAsia="宋体"/>
          <w:b w:val="0"/>
          <w:sz w:val="24"/>
        </w:rPr>
        <w:t>1. 一种悬索桥钢混组合梁桥上原位叠合与免配重平衡浇筑施工方法，所述悬索桥包括主缆、悬挂于所述主缆下方的吊索以及位于两侧的索塔，其特征在于，包括以下步骤：</w:t>
      </w:r>
    </w:p>
    <w:p>
      <w:pPr>
        <w:spacing w:after="0" w:before="0" w:line="360" w:lineRule="auto"/>
        <w:ind w:firstLine="480"/>
        <w:jc w:val="both"/>
      </w:pPr>
      <w:r>
        <w:rPr>
          <w:rFonts w:ascii="Times New Roman" w:hAnsi="Times New Roman" w:eastAsia="宋体"/>
          <w:b w:val="0"/>
          <w:sz w:val="24"/>
        </w:rPr>
        <w:t>S1、将钢主梁节段依次吊装至所述吊索上并完成相邻钢主梁节段之间的纵向连接，形成连续钢梁骨架；将预制混凝土桥面板逐块铺设于所述连续钢梁骨架的顶面，所述预制混凝土桥面板与所述连续钢梁骨架顶面的剪力钉相接触且在混凝土硬化前不与所述连续钢梁骨架形成组合截面，相邻所述预制混凝土桥面板之间以及所述预制混凝土桥面板与所述连续钢梁骨架之间形成待浇筑的湿接缝；</w:t>
      </w:r>
    </w:p>
    <w:p>
      <w:pPr>
        <w:spacing w:after="0" w:before="0" w:line="360" w:lineRule="auto"/>
        <w:ind w:firstLine="480"/>
        <w:jc w:val="both"/>
      </w:pPr>
      <w:r>
        <w:rPr>
          <w:rFonts w:ascii="Times New Roman" w:hAnsi="Times New Roman" w:eastAsia="宋体"/>
          <w:b w:val="0"/>
          <w:sz w:val="24"/>
        </w:rPr>
        <w:t>S2、将所述湿接缝划分为吊索区湿接缝和非吊索区湿接缝，所述吊索区湿接缝为位于吊索中心线两侧预定范围内的湿接缝段，所述非吊索区湿接缝为所述湿接缝中除所述吊索区湿接缝以外的其余湿接缝段；</w:t>
      </w:r>
    </w:p>
    <w:p>
      <w:pPr>
        <w:spacing w:after="0" w:before="0" w:line="360" w:lineRule="auto"/>
        <w:ind w:firstLine="480"/>
        <w:jc w:val="both"/>
      </w:pPr>
      <w:r>
        <w:rPr>
          <w:rFonts w:ascii="Times New Roman" w:hAnsi="Times New Roman" w:eastAsia="宋体"/>
          <w:b w:val="0"/>
          <w:sz w:val="24"/>
        </w:rPr>
        <w:t>S3、第一阶段浇筑所述非吊索区湿接缝，所述第一阶段包括先浇筑位于跨中区段的所述非吊索区湿接缝，以使所述主缆的水平张力升高、竖向几何刚度增大，再由跨中向两侧所述索塔逐批次对称浇筑所述跨中区段以外的所述非吊索区湿接缝，以使后浇批次在跨中引起的隆起变形抵消先浇批次在跨中引起的下沉变形，直至所述非吊索区湿接缝浇筑完成，其中所述跨中区段为以跨中为中心、沿桥纵向向两侧所述索塔方向对称延伸的预定长度区段，所述跨中区段以外的所述非吊索区湿接缝按间隔跳仓方式浇筑，先浇筑的湿接缝段之间沿桥纵向间隔至少一个吊索节段、后浇筑的湿接缝段填充于先浇筑的湿接缝段之间，所述吊索节段为相邻两吊索之间的加劲梁节段；</w:t>
      </w:r>
    </w:p>
    <w:p>
      <w:pPr>
        <w:spacing w:after="0" w:before="0" w:line="360" w:lineRule="auto"/>
        <w:ind w:firstLine="480"/>
        <w:jc w:val="both"/>
      </w:pPr>
      <w:r>
        <w:rPr>
          <w:rFonts w:ascii="Times New Roman" w:hAnsi="Times New Roman" w:eastAsia="宋体"/>
          <w:b w:val="0"/>
          <w:sz w:val="24"/>
        </w:rPr>
        <w:t>S4、待所述第一阶段浇筑的湿接缝的混凝土达到预设强度，第二阶段由跨中向两侧所述索塔对称逐批次浇筑所述吊索区湿接缝，直至全桥所述湿接缝浇筑完成；</w:t>
      </w:r>
    </w:p>
    <w:p>
      <w:pPr>
        <w:spacing w:after="0" w:before="0" w:line="360" w:lineRule="auto"/>
        <w:ind w:firstLine="480"/>
        <w:jc w:val="both"/>
      </w:pPr>
      <w:r>
        <w:rPr>
          <w:rFonts w:ascii="Times New Roman" w:hAnsi="Times New Roman" w:eastAsia="宋体"/>
          <w:b w:val="0"/>
          <w:sz w:val="24"/>
        </w:rPr>
        <w:t>S5、待所述湿接缝的混凝土硬化后，所述预制混凝土桥面板经所述剪力钉与所述连续钢梁骨架形成组合截面，完成结构体系转换；</w:t>
      </w:r>
    </w:p>
    <w:p>
      <w:pPr>
        <w:spacing w:after="200" w:before="0" w:line="360" w:lineRule="auto"/>
        <w:ind w:firstLine="480"/>
        <w:jc w:val="both"/>
      </w:pPr>
      <w:r>
        <w:rPr>
          <w:rFonts w:ascii="Times New Roman" w:hAnsi="Times New Roman" w:eastAsia="宋体"/>
          <w:b w:val="0"/>
          <w:sz w:val="24"/>
        </w:rPr>
        <w:t>其中，在所述第一阶段和所述第二阶段的浇筑全过程中，均不在所述预制混凝土桥面板上设置用于等效模拟待浇筑湿接缝混凝土自重的临时配重。</w:t>
      </w:r>
    </w:p>
    <w:p>
      <w:pPr>
        <w:spacing w:after="200" w:before="0" w:line="360" w:lineRule="auto"/>
        <w:ind w:firstLine="480"/>
        <w:jc w:val="both"/>
      </w:pPr>
      <w:r>
        <w:rPr>
          <w:rFonts w:ascii="Times New Roman" w:hAnsi="Times New Roman" w:eastAsia="宋体"/>
          <w:b w:val="0"/>
          <w:sz w:val="24"/>
        </w:rPr>
        <w:t>2. 根据权利要求1所述的悬索桥钢混组合梁桥上原位叠合与免配重平衡浇筑施工方法，其特征在于，所述步骤S1中，所述预制混凝土桥面板的铺设顺序为由跨中向两侧所述索塔对称铺设，且每铺设完成一个所述吊索节段，测量并记录所述主缆的线形。</w:t>
      </w:r>
    </w:p>
    <w:p>
      <w:pPr>
        <w:spacing w:after="200" w:before="0" w:line="360" w:lineRule="auto"/>
        <w:ind w:firstLine="480"/>
        <w:jc w:val="both"/>
      </w:pPr>
      <w:r>
        <w:rPr>
          <w:rFonts w:ascii="Times New Roman" w:hAnsi="Times New Roman" w:eastAsia="宋体"/>
          <w:b w:val="0"/>
          <w:sz w:val="24"/>
        </w:rPr>
        <w:t>3. 根据权利要求1所述的悬索桥钢混组合梁桥上原位叠合与免配重平衡浇筑施工方法，其特征在于，所述预定范围为所述吊索中心线两侧各1.0m~1.5m，或者所述预定范围为相邻两吊索间距的1/12~1/8。</w:t>
      </w:r>
    </w:p>
    <w:p>
      <w:pPr>
        <w:spacing w:after="200" w:before="0" w:line="360" w:lineRule="auto"/>
        <w:ind w:firstLine="480"/>
        <w:jc w:val="both"/>
      </w:pPr>
      <w:r>
        <w:rPr>
          <w:rFonts w:ascii="Times New Roman" w:hAnsi="Times New Roman" w:eastAsia="宋体"/>
          <w:b w:val="0"/>
          <w:sz w:val="24"/>
        </w:rPr>
        <w:t>4. 根据权利要求3所述的悬索桥钢混组合梁桥上原位叠合与免配重平衡浇筑施工方法，其特征在于，所述预定范围为所述吊索中心线两侧各1.25m。</w:t>
      </w:r>
    </w:p>
    <w:p>
      <w:pPr>
        <w:spacing w:after="200" w:before="0" w:line="360" w:lineRule="auto"/>
        <w:ind w:firstLine="480"/>
        <w:jc w:val="both"/>
      </w:pPr>
      <w:r>
        <w:rPr>
          <w:rFonts w:ascii="Times New Roman" w:hAnsi="Times New Roman" w:eastAsia="宋体"/>
          <w:b w:val="0"/>
          <w:sz w:val="24"/>
        </w:rPr>
        <w:t>5. 根据权利要求1所述的悬索桥钢混组合梁桥上原位叠合与免配重平衡浇筑施工方法，其特征在于，所述跨中区段为以跨中为中心、向两侧所述索塔方向各延伸L/6的区段，L为所述悬索桥的主跨跨径。</w:t>
      </w:r>
    </w:p>
    <w:p>
      <w:pPr>
        <w:spacing w:after="0" w:before="0" w:line="360" w:lineRule="auto"/>
        <w:ind w:firstLine="480"/>
        <w:jc w:val="both"/>
      </w:pPr>
      <w:r>
        <w:rPr>
          <w:rFonts w:ascii="Times New Roman" w:hAnsi="Times New Roman" w:eastAsia="宋体"/>
          <w:b w:val="0"/>
          <w:sz w:val="24"/>
        </w:rPr>
        <w:t>6. 根据权利要求1所述的悬索桥钢混组合梁桥上原位叠合与免配重平衡浇筑施工方法，其特征在于，所述跨中区段按以下步骤确定：</w:t>
      </w:r>
    </w:p>
    <w:p>
      <w:pPr>
        <w:spacing w:after="0" w:before="0" w:line="360" w:lineRule="auto"/>
        <w:ind w:firstLine="480"/>
        <w:jc w:val="both"/>
      </w:pPr>
      <w:r>
        <w:rPr>
          <w:rFonts w:ascii="Times New Roman" w:hAnsi="Times New Roman" w:eastAsia="宋体"/>
          <w:b w:val="0"/>
          <w:sz w:val="24"/>
        </w:rPr>
        <w:t>S61、在所述第一阶段浇筑开始前，测定所述主缆的水平张力，记为基准水平张力H</w:t>
      </w:r>
      <w:r>
        <w:rPr>
          <w:rFonts w:ascii="Times New Roman" w:hAnsi="Times New Roman" w:eastAsia="宋体"/>
          <w:b w:val="0"/>
          <w:sz w:val="24"/>
          <w:vertAlign w:val="subscript"/>
        </w:rPr>
        <w:t>0</w:t>
      </w:r>
      <w:r>
        <w:rPr>
          <w:rFonts w:ascii="Times New Roman" w:hAnsi="Times New Roman" w:eastAsia="宋体"/>
          <w:b w:val="0"/>
          <w:sz w:val="24"/>
        </w:rPr>
        <w:t>；</w:t>
      </w:r>
    </w:p>
    <w:p>
      <w:pPr>
        <w:spacing w:after="0" w:before="0" w:line="360" w:lineRule="auto"/>
        <w:ind w:firstLine="480"/>
        <w:jc w:val="both"/>
      </w:pPr>
      <w:r>
        <w:rPr>
          <w:rFonts w:ascii="Times New Roman" w:hAnsi="Times New Roman" w:eastAsia="宋体"/>
          <w:b w:val="0"/>
          <w:sz w:val="24"/>
        </w:rPr>
        <w:t>S62、以跨中为起点、向两侧所述索塔方向对称选取尚未浇筑的所述非吊索区湿接缝并进行浇筑，浇筑完成后测定所述主缆的当前水平张力H</w:t>
      </w:r>
      <w:r>
        <w:rPr>
          <w:rFonts w:ascii="Times New Roman" w:hAnsi="Times New Roman" w:eastAsia="宋体"/>
          <w:b w:val="0"/>
          <w:sz w:val="24"/>
          <w:vertAlign w:val="subscript"/>
        </w:rPr>
        <w:t>1</w:t>
      </w:r>
      <w:r>
        <w:rPr>
          <w:rFonts w:ascii="Times New Roman" w:hAnsi="Times New Roman" w:eastAsia="宋体"/>
          <w:b w:val="0"/>
          <w:sz w:val="24"/>
        </w:rPr>
        <w:t>；</w:t>
      </w:r>
    </w:p>
    <w:p>
      <w:pPr>
        <w:spacing w:after="200" w:before="0" w:line="360" w:lineRule="auto"/>
        <w:ind w:firstLine="480"/>
        <w:jc w:val="both"/>
      </w:pPr>
      <w:r>
        <w:rPr>
          <w:rFonts w:ascii="Times New Roman" w:hAnsi="Times New Roman" w:eastAsia="宋体"/>
          <w:b w:val="0"/>
          <w:sz w:val="24"/>
        </w:rPr>
        <w:t>S63、在（H</w:t>
      </w:r>
      <w:r>
        <w:rPr>
          <w:rFonts w:ascii="Times New Roman" w:hAnsi="Times New Roman" w:eastAsia="宋体"/>
          <w:b w:val="0"/>
          <w:sz w:val="24"/>
          <w:vertAlign w:val="subscript"/>
        </w:rPr>
        <w:t>1</w:t>
      </w:r>
      <w:r>
        <w:rPr>
          <w:rFonts w:ascii="Times New Roman" w:hAnsi="Times New Roman" w:eastAsia="宋体"/>
          <w:b w:val="0"/>
          <w:sz w:val="24"/>
        </w:rPr>
        <w:t>−H</w:t>
      </w:r>
      <w:r>
        <w:rPr>
          <w:rFonts w:ascii="Times New Roman" w:hAnsi="Times New Roman" w:eastAsia="宋体"/>
          <w:b w:val="0"/>
          <w:sz w:val="24"/>
          <w:vertAlign w:val="subscript"/>
        </w:rPr>
        <w:t>0</w:t>
      </w:r>
      <w:r>
        <w:rPr>
          <w:rFonts w:ascii="Times New Roman" w:hAnsi="Times New Roman" w:eastAsia="宋体"/>
          <w:b w:val="0"/>
          <w:sz w:val="24"/>
        </w:rPr>
        <w:t>）/H</w:t>
      </w:r>
      <w:r>
        <w:rPr>
          <w:rFonts w:ascii="Times New Roman" w:hAnsi="Times New Roman" w:eastAsia="宋体"/>
          <w:b w:val="0"/>
          <w:sz w:val="24"/>
          <w:vertAlign w:val="subscript"/>
        </w:rPr>
        <w:t>0</w:t>
      </w:r>
      <w:r>
        <w:rPr>
          <w:rFonts w:ascii="Times New Roman" w:hAnsi="Times New Roman" w:eastAsia="宋体"/>
          <w:b w:val="0"/>
          <w:sz w:val="24"/>
        </w:rPr>
        <w:t>小于15%的情况下，返回所述步骤S62；在（H</w:t>
      </w:r>
      <w:r>
        <w:rPr>
          <w:rFonts w:ascii="Times New Roman" w:hAnsi="Times New Roman" w:eastAsia="宋体"/>
          <w:b w:val="0"/>
          <w:sz w:val="24"/>
          <w:vertAlign w:val="subscript"/>
        </w:rPr>
        <w:t>1</w:t>
      </w:r>
      <w:r>
        <w:rPr>
          <w:rFonts w:ascii="Times New Roman" w:hAnsi="Times New Roman" w:eastAsia="宋体"/>
          <w:b w:val="0"/>
          <w:sz w:val="24"/>
        </w:rPr>
        <w:t>−H</w:t>
      </w:r>
      <w:r>
        <w:rPr>
          <w:rFonts w:ascii="Times New Roman" w:hAnsi="Times New Roman" w:eastAsia="宋体"/>
          <w:b w:val="0"/>
          <w:sz w:val="24"/>
          <w:vertAlign w:val="subscript"/>
        </w:rPr>
        <w:t>0</w:t>
      </w:r>
      <w:r>
        <w:rPr>
          <w:rFonts w:ascii="Times New Roman" w:hAnsi="Times New Roman" w:eastAsia="宋体"/>
          <w:b w:val="0"/>
          <w:sz w:val="24"/>
        </w:rPr>
        <w:t>）/H</w:t>
      </w:r>
      <w:r>
        <w:rPr>
          <w:rFonts w:ascii="Times New Roman" w:hAnsi="Times New Roman" w:eastAsia="宋体"/>
          <w:b w:val="0"/>
          <w:sz w:val="24"/>
          <w:vertAlign w:val="subscript"/>
        </w:rPr>
        <w:t>0</w:t>
      </w:r>
      <w:r>
        <w:rPr>
          <w:rFonts w:ascii="Times New Roman" w:hAnsi="Times New Roman" w:eastAsia="宋体"/>
          <w:b w:val="0"/>
          <w:sz w:val="24"/>
        </w:rPr>
        <w:t>大于或等于15%的情况下，判定所述跨中区段浇筑完成，并转入由跨中向两侧所述索塔逐批次对称浇筑所述跨中区段以外的所述非吊索区湿接缝。</w:t>
      </w:r>
    </w:p>
    <w:p>
      <w:pPr>
        <w:spacing w:after="200" w:before="0" w:line="360" w:lineRule="auto"/>
        <w:ind w:firstLine="480"/>
        <w:jc w:val="both"/>
      </w:pPr>
      <w:r>
        <w:rPr>
          <w:rFonts w:ascii="Times New Roman" w:hAnsi="Times New Roman" w:eastAsia="宋体"/>
          <w:b w:val="0"/>
          <w:sz w:val="24"/>
        </w:rPr>
        <w:t>7. 根据权利要求1所述的悬索桥钢混组合梁桥上原位叠合与免配重平衡浇筑施工方法，其特征在于，所述第一阶段分为10~12个批次完成，每一批次的实际浇筑方量与该批次设计浇筑方量之差的绝对值不超过该批次设计浇筑方量的5%，且相邻两批次的浇筑间隔时间不少于所述湿接缝的混凝土的初凝时间。</w:t>
      </w:r>
    </w:p>
    <w:p>
      <w:pPr>
        <w:spacing w:after="0" w:before="0" w:line="360" w:lineRule="auto"/>
        <w:ind w:firstLine="480"/>
        <w:jc w:val="both"/>
      </w:pPr>
      <w:r>
        <w:rPr>
          <w:rFonts w:ascii="Times New Roman" w:hAnsi="Times New Roman" w:eastAsia="宋体"/>
          <w:b w:val="0"/>
          <w:sz w:val="24"/>
        </w:rPr>
        <w:t>8. 根据权利要求1所述的悬索桥钢混组合梁桥上原位叠合与免配重平衡浇筑施工方法，其特征在于，浇筑所述跨中区段以外的所述非吊索区湿接缝时，依次包括：</w:t>
      </w:r>
    </w:p>
    <w:p>
      <w:pPr>
        <w:spacing w:after="0" w:before="0" w:line="360" w:lineRule="auto"/>
        <w:ind w:firstLine="480"/>
        <w:jc w:val="both"/>
      </w:pPr>
      <w:r>
        <w:rPr>
          <w:rFonts w:ascii="Times New Roman" w:hAnsi="Times New Roman" w:eastAsia="宋体"/>
          <w:b w:val="0"/>
          <w:sz w:val="24"/>
        </w:rPr>
        <w:t>S81、自所述跨中区段的两端起，向两侧所述索塔方向以间隔一个吊索节段的方式对称跳仓浇筑，直至浇筑至距所述索塔预定距离的位置；</w:t>
      </w:r>
    </w:p>
    <w:p>
      <w:pPr>
        <w:spacing w:after="0" w:before="0" w:line="360" w:lineRule="auto"/>
        <w:ind w:firstLine="480"/>
        <w:jc w:val="both"/>
      </w:pPr>
      <w:r>
        <w:rPr>
          <w:rFonts w:ascii="Times New Roman" w:hAnsi="Times New Roman" w:eastAsia="宋体"/>
          <w:b w:val="0"/>
          <w:sz w:val="24"/>
        </w:rPr>
        <w:t>S82、自所述步骤S81的浇筑终止位置起，向两侧所述索塔方向对称浇筑至加劲梁的两个端部；</w:t>
      </w:r>
    </w:p>
    <w:p>
      <w:pPr>
        <w:spacing w:after="200" w:before="0" w:line="360" w:lineRule="auto"/>
        <w:ind w:firstLine="480"/>
        <w:jc w:val="both"/>
      </w:pPr>
      <w:r>
        <w:rPr>
          <w:rFonts w:ascii="Times New Roman" w:hAnsi="Times New Roman" w:eastAsia="宋体"/>
          <w:b w:val="0"/>
          <w:sz w:val="24"/>
        </w:rPr>
        <w:t>S83、自所述步骤S81的浇筑终止位置起，向跨中方向对称回浇所述步骤S81中跳仓预留的湿接缝段。</w:t>
      </w:r>
    </w:p>
    <w:p>
      <w:pPr>
        <w:spacing w:after="0" w:before="0" w:line="360" w:lineRule="auto"/>
        <w:ind w:firstLine="480"/>
        <w:jc w:val="both"/>
      </w:pPr>
      <w:r>
        <w:rPr>
          <w:rFonts w:ascii="Times New Roman" w:hAnsi="Times New Roman" w:eastAsia="宋体"/>
          <w:b w:val="0"/>
          <w:sz w:val="24"/>
        </w:rPr>
        <w:t>9. 根据权利要求1所述的悬索桥钢混组合梁桥上原位叠合与免配重平衡浇筑施工方法，其特征在于，浇筑所述跨中区段以外的所述非吊索区湿接缝时，逐批次按以下步骤确定本批次的浇筑对象：</w:t>
      </w:r>
    </w:p>
    <w:p>
      <w:pPr>
        <w:spacing w:after="0" w:before="0" w:line="360" w:lineRule="auto"/>
        <w:ind w:firstLine="480"/>
        <w:jc w:val="both"/>
      </w:pPr>
      <w:r>
        <w:rPr>
          <w:rFonts w:ascii="Times New Roman" w:hAnsi="Times New Roman" w:eastAsia="宋体"/>
          <w:b w:val="0"/>
          <w:sz w:val="24"/>
        </w:rPr>
        <w:t>S91、在本批次浇筑开始前，测量所述主缆的跨中相对于所述湿接缝浇筑前的当前竖向位移δ，所述竖向位移以向下为正；</w:t>
      </w:r>
    </w:p>
    <w:p>
      <w:pPr>
        <w:spacing w:after="0" w:before="0" w:line="360" w:lineRule="auto"/>
        <w:ind w:firstLine="480"/>
        <w:jc w:val="both"/>
      </w:pPr>
      <w:r>
        <w:rPr>
          <w:rFonts w:ascii="Times New Roman" w:hAnsi="Times New Roman" w:eastAsia="宋体"/>
          <w:b w:val="0"/>
          <w:sz w:val="24"/>
        </w:rPr>
        <w:t>S92、将尚未浇筑的所述非吊索区湿接缝按关于跨中对称的方式两两配对，得到若干候选节段对，针对每一所述候选节段对中的节段j及其对称节段j′，按下式计算浇筑该候选节段对后所述主缆的跨中预估竖向位移δ</w:t>
      </w:r>
      <w:r>
        <w:rPr>
          <w:rFonts w:ascii="Times New Roman" w:hAnsi="Times New Roman" w:eastAsia="宋体"/>
          <w:b w:val="0"/>
          <w:sz w:val="24"/>
          <w:vertAlign w:val="subscript"/>
        </w:rPr>
        <w:t>est</w:t>
      </w:r>
      <w:r>
        <w:rPr>
          <w:rFonts w:ascii="Times New Roman" w:hAnsi="Times New Roman" w:eastAsia="宋体"/>
          <w:b w:val="0"/>
          <w:sz w:val="24"/>
        </w:rPr>
        <w:t>：</w:t>
      </w:r>
    </w:p>
    <w:p>
      <w:pPr>
        <w:spacing w:after="120" w:before="0" w:line="360" w:lineRule="auto"/>
        <w:jc w:val="center"/>
      </w:pPr>
      <w:r>
        <w:rPr>
          <w:rFonts w:ascii="Times New Roman" w:hAnsi="Times New Roman" w:eastAsia="宋体"/>
          <w:b w:val="0"/>
          <w:sz w:val="24"/>
        </w:rPr>
        <w:t>δ</w:t>
      </w:r>
      <w:r>
        <w:rPr>
          <w:rFonts w:ascii="Times New Roman" w:hAnsi="Times New Roman" w:eastAsia="宋体"/>
          <w:b w:val="0"/>
          <w:sz w:val="24"/>
          <w:vertAlign w:val="subscript"/>
        </w:rPr>
        <w:t>est</w:t>
      </w:r>
      <w:r>
        <w:rPr>
          <w:rFonts w:ascii="Times New Roman" w:hAnsi="Times New Roman" w:eastAsia="宋体"/>
          <w:b w:val="0"/>
          <w:sz w:val="24"/>
        </w:rPr>
        <w:t xml:space="preserve"> = δ + V</w:t>
      </w:r>
      <w:r>
        <w:rPr>
          <w:rFonts w:ascii="Times New Roman" w:hAnsi="Times New Roman" w:eastAsia="宋体"/>
          <w:b w:val="0"/>
          <w:sz w:val="24"/>
          <w:vertAlign w:val="subscript"/>
        </w:rPr>
        <w:t>j</w:t>
      </w:r>
      <w:r>
        <w:rPr>
          <w:rFonts w:ascii="Times New Roman" w:hAnsi="Times New Roman" w:eastAsia="宋体"/>
          <w:b w:val="0"/>
          <w:sz w:val="24"/>
        </w:rPr>
        <w:t>·η</w:t>
      </w:r>
      <w:r>
        <w:rPr>
          <w:rFonts w:ascii="Times New Roman" w:hAnsi="Times New Roman" w:eastAsia="宋体"/>
          <w:b w:val="0"/>
          <w:sz w:val="24"/>
          <w:vertAlign w:val="subscript"/>
        </w:rPr>
        <w:t>j</w:t>
      </w:r>
      <w:r>
        <w:rPr>
          <w:rFonts w:ascii="Times New Roman" w:hAnsi="Times New Roman" w:eastAsia="宋体"/>
          <w:b w:val="0"/>
          <w:sz w:val="24"/>
        </w:rPr>
        <w:t xml:space="preserve"> + V</w:t>
      </w:r>
      <w:r>
        <w:rPr>
          <w:rFonts w:ascii="Times New Roman" w:hAnsi="Times New Roman" w:eastAsia="宋体"/>
          <w:b w:val="0"/>
          <w:sz w:val="24"/>
          <w:vertAlign w:val="subscript"/>
        </w:rPr>
        <w:t>j′</w:t>
      </w:r>
      <w:r>
        <w:rPr>
          <w:rFonts w:ascii="Times New Roman" w:hAnsi="Times New Roman" w:eastAsia="宋体"/>
          <w:b w:val="0"/>
          <w:sz w:val="24"/>
        </w:rPr>
        <w:t>·η</w:t>
      </w:r>
      <w:r>
        <w:rPr>
          <w:rFonts w:ascii="Times New Roman" w:hAnsi="Times New Roman" w:eastAsia="宋体"/>
          <w:b w:val="0"/>
          <w:sz w:val="24"/>
          <w:vertAlign w:val="subscript"/>
        </w:rPr>
        <w:t>j′</w:t>
      </w:r>
    </w:p>
    <w:p>
      <w:pPr>
        <w:spacing w:after="0" w:before="0" w:line="360" w:lineRule="auto"/>
        <w:ind w:firstLine="480"/>
        <w:jc w:val="both"/>
      </w:pPr>
      <w:r>
        <w:rPr>
          <w:rFonts w:ascii="Times New Roman" w:hAnsi="Times New Roman" w:eastAsia="宋体"/>
          <w:b w:val="0"/>
          <w:sz w:val="24"/>
        </w:rPr>
        <w:t>式中，V</w:t>
      </w:r>
      <w:r>
        <w:rPr>
          <w:rFonts w:ascii="Times New Roman" w:hAnsi="Times New Roman" w:eastAsia="宋体"/>
          <w:b w:val="0"/>
          <w:sz w:val="24"/>
          <w:vertAlign w:val="subscript"/>
        </w:rPr>
        <w:t>j</w:t>
      </w:r>
      <w:r>
        <w:rPr>
          <w:rFonts w:ascii="Times New Roman" w:hAnsi="Times New Roman" w:eastAsia="宋体"/>
          <w:b w:val="0"/>
          <w:sz w:val="24"/>
        </w:rPr>
        <w:t>、V</w:t>
      </w:r>
      <w:r>
        <w:rPr>
          <w:rFonts w:ascii="Times New Roman" w:hAnsi="Times New Roman" w:eastAsia="宋体"/>
          <w:b w:val="0"/>
          <w:sz w:val="24"/>
          <w:vertAlign w:val="subscript"/>
        </w:rPr>
        <w:t>j′</w:t>
      </w:r>
      <w:r>
        <w:rPr>
          <w:rFonts w:ascii="Times New Roman" w:hAnsi="Times New Roman" w:eastAsia="宋体"/>
          <w:b w:val="0"/>
          <w:sz w:val="24"/>
        </w:rPr>
        <w:t>分别为所述节段j、所述节段j′的计划浇筑方量，η</w:t>
      </w:r>
      <w:r>
        <w:rPr>
          <w:rFonts w:ascii="Times New Roman" w:hAnsi="Times New Roman" w:eastAsia="宋体"/>
          <w:b w:val="0"/>
          <w:sz w:val="24"/>
          <w:vertAlign w:val="subscript"/>
        </w:rPr>
        <w:t>j</w:t>
      </w:r>
      <w:r>
        <w:rPr>
          <w:rFonts w:ascii="Times New Roman" w:hAnsi="Times New Roman" w:eastAsia="宋体"/>
          <w:b w:val="0"/>
          <w:sz w:val="24"/>
        </w:rPr>
        <w:t>、η</w:t>
      </w:r>
      <w:r>
        <w:rPr>
          <w:rFonts w:ascii="Times New Roman" w:hAnsi="Times New Roman" w:eastAsia="宋体"/>
          <w:b w:val="0"/>
          <w:sz w:val="24"/>
          <w:vertAlign w:val="subscript"/>
        </w:rPr>
        <w:t>j′</w:t>
      </w:r>
      <w:r>
        <w:rPr>
          <w:rFonts w:ascii="Times New Roman" w:hAnsi="Times New Roman" w:eastAsia="宋体"/>
          <w:b w:val="0"/>
          <w:sz w:val="24"/>
        </w:rPr>
        <w:t>分别为在所述节段j、所述节段j′处施加单位浇筑荷载时所述主缆的跨中产生的竖向位移影响系数，所述竖向位移影响系数以引起跨中下沉为正、以引起跨中隆起为负；</w:t>
      </w:r>
    </w:p>
    <w:p>
      <w:pPr>
        <w:spacing w:after="200" w:before="0" w:line="360" w:lineRule="auto"/>
        <w:ind w:firstLine="480"/>
        <w:jc w:val="both"/>
      </w:pPr>
      <w:r>
        <w:rPr>
          <w:rFonts w:ascii="Times New Roman" w:hAnsi="Times New Roman" w:eastAsia="宋体"/>
          <w:b w:val="0"/>
          <w:sz w:val="24"/>
        </w:rPr>
        <w:t>S93、在沿桥纵向与已浇筑的湿接缝段之间间隔至少一个吊索节段的所述候选节段对中，选取使δ</w:t>
      </w:r>
      <w:r>
        <w:rPr>
          <w:rFonts w:ascii="Times New Roman" w:hAnsi="Times New Roman" w:eastAsia="宋体"/>
          <w:b w:val="0"/>
          <w:sz w:val="24"/>
          <w:vertAlign w:val="subscript"/>
        </w:rPr>
        <w:t>est</w:t>
      </w:r>
      <w:r>
        <w:rPr>
          <w:rFonts w:ascii="Times New Roman" w:hAnsi="Times New Roman" w:eastAsia="宋体"/>
          <w:b w:val="0"/>
          <w:sz w:val="24"/>
        </w:rPr>
        <w:t>与本批次所对应施工阶段的跨中目标竖向位移之差的绝对值最小的所述候选节段对，作为本批次的浇筑对象。</w:t>
      </w:r>
    </w:p>
    <w:p>
      <w:pPr>
        <w:spacing w:after="200" w:before="0" w:line="360" w:lineRule="auto"/>
        <w:ind w:firstLine="480"/>
        <w:jc w:val="both"/>
      </w:pPr>
      <w:r>
        <w:rPr>
          <w:rFonts w:ascii="Times New Roman" w:hAnsi="Times New Roman" w:eastAsia="宋体"/>
          <w:b w:val="0"/>
          <w:sz w:val="24"/>
        </w:rPr>
        <w:t>10. 根据权利要求9所述的悬索桥钢混组合梁桥上原位叠合与免配重平衡浇筑施工方法，其特征在于，所述竖向位移影响系数由考虑几何非线性的全桥有限元模型逐施工阶段计算得到；每完成一个浇筑批次，以该批次结束后实测的所述主缆的水平张力更新所述全桥有限元模型中所述主缆的张力状态，并重新计算下一批次所采用的所述竖向位移影响系数。</w:t>
      </w:r>
    </w:p>
    <w:p>
      <w:pPr>
        <w:spacing w:after="200" w:before="0" w:line="360" w:lineRule="auto"/>
        <w:ind w:firstLine="480"/>
        <w:jc w:val="both"/>
      </w:pPr>
      <w:r>
        <w:rPr>
          <w:rFonts w:ascii="Times New Roman" w:hAnsi="Times New Roman" w:eastAsia="宋体"/>
          <w:b w:val="0"/>
          <w:sz w:val="24"/>
        </w:rPr>
        <w:t>11. 根据权利要求1所述的悬索桥钢混组合梁桥上原位叠合与免配重平衡浇筑施工方法，其特征在于，所述预设强度为所述湿接缝的混凝土的设计强度的80%。</w:t>
      </w:r>
    </w:p>
    <w:p>
      <w:pPr>
        <w:spacing w:after="200" w:before="0" w:line="360" w:lineRule="auto"/>
        <w:ind w:firstLine="480"/>
        <w:jc w:val="both"/>
      </w:pPr>
      <w:r>
        <w:rPr>
          <w:rFonts w:ascii="Times New Roman" w:hAnsi="Times New Roman" w:eastAsia="宋体"/>
          <w:b w:val="0"/>
          <w:sz w:val="24"/>
        </w:rPr>
        <w:t>12. 根据权利要求1所述的悬索桥钢混组合梁桥上原位叠合与免配重平衡浇筑施工方法，其特征在于，所述第二阶段在所述主缆的线形满足稳定判据后开始，所述稳定判据为：所述第一阶段的最后连续三个浇筑批次中，每一批次结束后所述主缆的跨中竖向位移变化量Δv均满足|Δv|≤3mm，且每一批次结束后所述索塔的塔顶纵向位移变化量Δδ均满足|Δδ|≤5mm。</w:t>
      </w:r>
    </w:p>
    <w:p>
      <w:pPr>
        <w:spacing w:after="0" w:before="0" w:line="360" w:lineRule="auto"/>
        <w:ind w:firstLine="480"/>
        <w:jc w:val="both"/>
      </w:pPr>
      <w:r>
        <w:rPr>
          <w:rFonts w:ascii="Times New Roman" w:hAnsi="Times New Roman" w:eastAsia="宋体"/>
          <w:b w:val="0"/>
          <w:sz w:val="24"/>
        </w:rPr>
        <w:t>13. 根据权利要求1所述的悬索桥钢混组合梁桥上原位叠合与免配重平衡浇筑施工方法，其特征在于，在所述第一阶段和所述第二阶段的浇筑过程中，还包括：</w:t>
      </w:r>
    </w:p>
    <w:p>
      <w:pPr>
        <w:spacing w:after="0" w:before="0" w:line="360" w:lineRule="auto"/>
        <w:ind w:firstLine="480"/>
        <w:jc w:val="both"/>
      </w:pPr>
      <w:r>
        <w:rPr>
          <w:rFonts w:ascii="Times New Roman" w:hAnsi="Times New Roman" w:eastAsia="宋体"/>
          <w:b w:val="0"/>
          <w:sz w:val="24"/>
        </w:rPr>
        <w:t>在所述主缆的1/8跨、1/4跨、3/8跨、1/2跨、5/8跨、3/4跨和7/8跨位置以及所述索塔的塔顶布设位移监测点；</w:t>
      </w:r>
    </w:p>
    <w:p>
      <w:pPr>
        <w:spacing w:after="0" w:before="0" w:line="360" w:lineRule="auto"/>
        <w:ind w:firstLine="480"/>
        <w:jc w:val="both"/>
      </w:pPr>
      <w:r>
        <w:rPr>
          <w:rFonts w:ascii="Times New Roman" w:hAnsi="Times New Roman" w:eastAsia="宋体"/>
          <w:b w:val="0"/>
          <w:sz w:val="24"/>
        </w:rPr>
        <w:t>每完成一个浇筑批次，采集各所述位移监测点的竖向位移，并按下式计算变形包络值W</w:t>
      </w:r>
      <w:r>
        <w:rPr>
          <w:rFonts w:ascii="Times New Roman" w:hAnsi="Times New Roman" w:eastAsia="宋体"/>
          <w:b w:val="0"/>
          <w:sz w:val="24"/>
          <w:vertAlign w:val="subscript"/>
        </w:rPr>
        <w:t>env</w:t>
      </w:r>
      <w:r>
        <w:rPr>
          <w:rFonts w:ascii="Times New Roman" w:hAnsi="Times New Roman" w:eastAsia="宋体"/>
          <w:b w:val="0"/>
          <w:sz w:val="24"/>
        </w:rPr>
        <w:t>：</w:t>
      </w:r>
    </w:p>
    <w:p>
      <w:pPr>
        <w:spacing w:after="120" w:before="0" w:line="360" w:lineRule="auto"/>
        <w:jc w:val="center"/>
      </w:pPr>
      <w:r>
        <w:rPr>
          <w:rFonts w:ascii="Times New Roman" w:hAnsi="Times New Roman" w:eastAsia="宋体"/>
          <w:b w:val="0"/>
          <w:sz w:val="24"/>
        </w:rPr>
        <w:t>W</w:t>
      </w:r>
      <w:r>
        <w:rPr>
          <w:rFonts w:ascii="Times New Roman" w:hAnsi="Times New Roman" w:eastAsia="宋体"/>
          <w:b w:val="0"/>
          <w:sz w:val="24"/>
          <w:vertAlign w:val="subscript"/>
        </w:rPr>
        <w:t>env</w:t>
      </w:r>
      <w:r>
        <w:rPr>
          <w:rFonts w:ascii="Times New Roman" w:hAnsi="Times New Roman" w:eastAsia="宋体"/>
          <w:b w:val="0"/>
          <w:sz w:val="24"/>
        </w:rPr>
        <w:t xml:space="preserve"> = max（Δ</w:t>
      </w:r>
      <w:r>
        <w:rPr>
          <w:rFonts w:ascii="Times New Roman" w:hAnsi="Times New Roman" w:eastAsia="宋体"/>
          <w:b w:val="0"/>
          <w:sz w:val="24"/>
          <w:vertAlign w:val="subscript"/>
        </w:rPr>
        <w:t>i</w:t>
      </w:r>
      <w:r>
        <w:rPr>
          <w:rFonts w:ascii="Times New Roman" w:hAnsi="Times New Roman" w:eastAsia="宋体"/>
          <w:b w:val="0"/>
          <w:sz w:val="24"/>
        </w:rPr>
        <w:t>）− min（Δ</w:t>
      </w:r>
      <w:r>
        <w:rPr>
          <w:rFonts w:ascii="Times New Roman" w:hAnsi="Times New Roman" w:eastAsia="宋体"/>
          <w:b w:val="0"/>
          <w:sz w:val="24"/>
          <w:vertAlign w:val="subscript"/>
        </w:rPr>
        <w:t>i</w:t>
      </w:r>
      <w:r>
        <w:rPr>
          <w:rFonts w:ascii="Times New Roman" w:hAnsi="Times New Roman" w:eastAsia="宋体"/>
          <w:b w:val="0"/>
          <w:sz w:val="24"/>
        </w:rPr>
        <w:t>）</w:t>
      </w:r>
    </w:p>
    <w:p>
      <w:pPr>
        <w:spacing w:after="0" w:before="0" w:line="360" w:lineRule="auto"/>
        <w:ind w:firstLine="480"/>
        <w:jc w:val="both"/>
      </w:pPr>
      <w:r>
        <w:rPr>
          <w:rFonts w:ascii="Times New Roman" w:hAnsi="Times New Roman" w:eastAsia="宋体"/>
          <w:b w:val="0"/>
          <w:sz w:val="24"/>
        </w:rPr>
        <w:t>式中，Δ</w:t>
      </w:r>
      <w:r>
        <w:rPr>
          <w:rFonts w:ascii="Times New Roman" w:hAnsi="Times New Roman" w:eastAsia="宋体"/>
          <w:b w:val="0"/>
          <w:sz w:val="24"/>
          <w:vertAlign w:val="subscript"/>
        </w:rPr>
        <w:t>i</w:t>
      </w:r>
      <w:r>
        <w:rPr>
          <w:rFonts w:ascii="Times New Roman" w:hAnsi="Times New Roman" w:eastAsia="宋体"/>
          <w:b w:val="0"/>
          <w:sz w:val="24"/>
        </w:rPr>
        <w:t>为第i个所述位移监测点自所述第一阶段浇筑开始起的累积竖向位移，i=1,2,…,n，n为所述位移监测点的总数；</w:t>
      </w:r>
    </w:p>
    <w:p>
      <w:pPr>
        <w:spacing w:after="200" w:before="0" w:line="360" w:lineRule="auto"/>
        <w:ind w:firstLine="480"/>
        <w:jc w:val="both"/>
      </w:pPr>
      <w:r>
        <w:rPr>
          <w:rFonts w:ascii="Times New Roman" w:hAnsi="Times New Roman" w:eastAsia="宋体"/>
          <w:b w:val="0"/>
          <w:sz w:val="24"/>
        </w:rPr>
        <w:t>在所述变形包络值W</w:t>
      </w:r>
      <w:r>
        <w:rPr>
          <w:rFonts w:ascii="Times New Roman" w:hAnsi="Times New Roman" w:eastAsia="宋体"/>
          <w:b w:val="0"/>
          <w:sz w:val="24"/>
          <w:vertAlign w:val="subscript"/>
        </w:rPr>
        <w:t>env</w:t>
      </w:r>
      <w:r>
        <w:rPr>
          <w:rFonts w:ascii="Times New Roman" w:hAnsi="Times New Roman" w:eastAsia="宋体"/>
          <w:b w:val="0"/>
          <w:sz w:val="24"/>
        </w:rPr>
        <w:t>超过预设阈值的情况下，暂停下一批次浇筑并调整后续浇筑顺序或浇筑方量，直至所述变形包络值W</w:t>
      </w:r>
      <w:r>
        <w:rPr>
          <w:rFonts w:ascii="Times New Roman" w:hAnsi="Times New Roman" w:eastAsia="宋体"/>
          <w:b w:val="0"/>
          <w:sz w:val="24"/>
          <w:vertAlign w:val="subscript"/>
        </w:rPr>
        <w:t>env</w:t>
      </w:r>
      <w:r>
        <w:rPr>
          <w:rFonts w:ascii="Times New Roman" w:hAnsi="Times New Roman" w:eastAsia="宋体"/>
          <w:b w:val="0"/>
          <w:sz w:val="24"/>
        </w:rPr>
        <w:t>回落至所述预设阈值以内后继续浇筑，所述预设阈值为L/30000~L/10000，L为所述悬索桥的主跨跨径。</w:t>
      </w:r>
    </w:p>
    <w:p>
      <w:pPr>
        <w:spacing w:after="0" w:before="0" w:line="360" w:lineRule="auto"/>
        <w:ind w:firstLine="480"/>
        <w:jc w:val="both"/>
      </w:pPr>
      <w:r>
        <w:rPr>
          <w:rFonts w:ascii="Times New Roman" w:hAnsi="Times New Roman" w:eastAsia="宋体"/>
          <w:b w:val="0"/>
          <w:sz w:val="24"/>
        </w:rPr>
        <w:t>14. 根据权利要求13所述的悬索桥钢混组合梁桥上原位叠合与免配重平衡浇筑施工方法，其特征在于，所述调整后续浇筑顺序或浇筑方量包括：</w:t>
      </w:r>
    </w:p>
    <w:p>
      <w:pPr>
        <w:spacing w:after="0" w:before="0" w:line="360" w:lineRule="auto"/>
        <w:ind w:firstLine="480"/>
        <w:jc w:val="both"/>
      </w:pPr>
      <w:r>
        <w:rPr>
          <w:rFonts w:ascii="Times New Roman" w:hAnsi="Times New Roman" w:eastAsia="宋体"/>
          <w:b w:val="0"/>
          <w:sz w:val="24"/>
        </w:rPr>
        <w:t>在所述变形包络值W</w:t>
      </w:r>
      <w:r>
        <w:rPr>
          <w:rFonts w:ascii="Times New Roman" w:hAnsi="Times New Roman" w:eastAsia="宋体"/>
          <w:b w:val="0"/>
          <w:sz w:val="24"/>
          <w:vertAlign w:val="subscript"/>
        </w:rPr>
        <w:t>env</w:t>
      </w:r>
      <w:r>
        <w:rPr>
          <w:rFonts w:ascii="Times New Roman" w:hAnsi="Times New Roman" w:eastAsia="宋体"/>
          <w:b w:val="0"/>
          <w:sz w:val="24"/>
        </w:rPr>
        <w:t>超过所述预设阈值、且所述累积竖向位移取最大值或最小值的所述位移监测点位于所述跨中区段内的情况下，暂停所述跨中区段内的后续浇筑，先浇筑靠近两侧所述索塔的湿接缝段；</w:t>
      </w:r>
    </w:p>
    <w:p>
      <w:pPr>
        <w:spacing w:after="0" w:before="0" w:line="360" w:lineRule="auto"/>
        <w:ind w:firstLine="480"/>
        <w:jc w:val="both"/>
      </w:pPr>
      <w:r>
        <w:rPr>
          <w:rFonts w:ascii="Times New Roman" w:hAnsi="Times New Roman" w:eastAsia="宋体"/>
          <w:b w:val="0"/>
          <w:sz w:val="24"/>
        </w:rPr>
        <w:t>在所述变形包络值W</w:t>
      </w:r>
      <w:r>
        <w:rPr>
          <w:rFonts w:ascii="Times New Roman" w:hAnsi="Times New Roman" w:eastAsia="宋体"/>
          <w:b w:val="0"/>
          <w:sz w:val="24"/>
          <w:vertAlign w:val="subscript"/>
        </w:rPr>
        <w:t>env</w:t>
      </w:r>
      <w:r>
        <w:rPr>
          <w:rFonts w:ascii="Times New Roman" w:hAnsi="Times New Roman" w:eastAsia="宋体"/>
          <w:b w:val="0"/>
          <w:sz w:val="24"/>
        </w:rPr>
        <w:t>超过所述预设阈值、且所述累积竖向位移取最大值或最小值的所述位移监测点位于1/4跨或3/4跨位置的情况下，将下一批次的浇筑方量V按下式计算：</w:t>
      </w:r>
    </w:p>
    <w:p>
      <w:pPr>
        <w:spacing w:after="120" w:before="0" w:line="360" w:lineRule="auto"/>
        <w:jc w:val="center"/>
      </w:pPr>
      <w:r>
        <w:rPr>
          <w:rFonts w:ascii="Times New Roman" w:hAnsi="Times New Roman" w:eastAsia="宋体"/>
          <w:b w:val="0"/>
          <w:sz w:val="24"/>
        </w:rPr>
        <w:t>V = V</w:t>
      </w:r>
      <w:r>
        <w:rPr>
          <w:rFonts w:ascii="Times New Roman" w:hAnsi="Times New Roman" w:eastAsia="宋体"/>
          <w:b w:val="0"/>
          <w:sz w:val="24"/>
          <w:vertAlign w:val="subscript"/>
        </w:rPr>
        <w:t>0</w:t>
      </w:r>
      <w:r>
        <w:rPr>
          <w:rFonts w:ascii="Times New Roman" w:hAnsi="Times New Roman" w:eastAsia="宋体"/>
          <w:b w:val="0"/>
          <w:sz w:val="24"/>
        </w:rPr>
        <w:t xml:space="preserve"> × W</w:t>
      </w:r>
      <w:r>
        <w:rPr>
          <w:rFonts w:ascii="Times New Roman" w:hAnsi="Times New Roman" w:eastAsia="宋体"/>
          <w:b w:val="0"/>
          <w:sz w:val="24"/>
          <w:vertAlign w:val="subscript"/>
        </w:rPr>
        <w:t>lim</w:t>
      </w:r>
      <w:r>
        <w:rPr>
          <w:rFonts w:ascii="Times New Roman" w:hAnsi="Times New Roman" w:eastAsia="宋体"/>
          <w:b w:val="0"/>
          <w:sz w:val="24"/>
        </w:rPr>
        <w:t xml:space="preserve"> / W</w:t>
      </w:r>
      <w:r>
        <w:rPr>
          <w:rFonts w:ascii="Times New Roman" w:hAnsi="Times New Roman" w:eastAsia="宋体"/>
          <w:b w:val="0"/>
          <w:sz w:val="24"/>
          <w:vertAlign w:val="subscript"/>
        </w:rPr>
        <w:t>env</w:t>
      </w:r>
    </w:p>
    <w:p>
      <w:pPr>
        <w:spacing w:after="200" w:before="0" w:line="360" w:lineRule="auto"/>
        <w:ind w:firstLine="480"/>
        <w:jc w:val="both"/>
      </w:pPr>
      <w:r>
        <w:rPr>
          <w:rFonts w:ascii="Times New Roman" w:hAnsi="Times New Roman" w:eastAsia="宋体"/>
          <w:b w:val="0"/>
          <w:sz w:val="24"/>
        </w:rPr>
        <w:t>式中，V</w:t>
      </w:r>
      <w:r>
        <w:rPr>
          <w:rFonts w:ascii="Times New Roman" w:hAnsi="Times New Roman" w:eastAsia="宋体"/>
          <w:b w:val="0"/>
          <w:sz w:val="24"/>
          <w:vertAlign w:val="subscript"/>
        </w:rPr>
        <w:t>0</w:t>
      </w:r>
      <w:r>
        <w:rPr>
          <w:rFonts w:ascii="Times New Roman" w:hAnsi="Times New Roman" w:eastAsia="宋体"/>
          <w:b w:val="0"/>
          <w:sz w:val="24"/>
        </w:rPr>
        <w:t>为下一批次的设计浇筑方量，W</w:t>
      </w:r>
      <w:r>
        <w:rPr>
          <w:rFonts w:ascii="Times New Roman" w:hAnsi="Times New Roman" w:eastAsia="宋体"/>
          <w:b w:val="0"/>
          <w:sz w:val="24"/>
          <w:vertAlign w:val="subscript"/>
        </w:rPr>
        <w:t>lim</w:t>
      </w:r>
      <w:r>
        <w:rPr>
          <w:rFonts w:ascii="Times New Roman" w:hAnsi="Times New Roman" w:eastAsia="宋体"/>
          <w:b w:val="0"/>
          <w:sz w:val="24"/>
        </w:rPr>
        <w:t>为所述预设阈值；在按上式计算所得的V大于0.8V</w:t>
      </w:r>
      <w:r>
        <w:rPr>
          <w:rFonts w:ascii="Times New Roman" w:hAnsi="Times New Roman" w:eastAsia="宋体"/>
          <w:b w:val="0"/>
          <w:sz w:val="24"/>
          <w:vertAlign w:val="subscript"/>
        </w:rPr>
        <w:t>0</w:t>
      </w:r>
      <w:r>
        <w:rPr>
          <w:rFonts w:ascii="Times New Roman" w:hAnsi="Times New Roman" w:eastAsia="宋体"/>
          <w:b w:val="0"/>
          <w:sz w:val="24"/>
        </w:rPr>
        <w:t>的情况下取V为0.8V</w:t>
      </w:r>
      <w:r>
        <w:rPr>
          <w:rFonts w:ascii="Times New Roman" w:hAnsi="Times New Roman" w:eastAsia="宋体"/>
          <w:b w:val="0"/>
          <w:sz w:val="24"/>
          <w:vertAlign w:val="subscript"/>
        </w:rPr>
        <w:t>0</w:t>
      </w:r>
      <w:r>
        <w:rPr>
          <w:rFonts w:ascii="Times New Roman" w:hAnsi="Times New Roman" w:eastAsia="宋体"/>
          <w:b w:val="0"/>
          <w:sz w:val="24"/>
        </w:rPr>
        <w:t>，在按上式计算所得的V小于0.6V</w:t>
      </w:r>
      <w:r>
        <w:rPr>
          <w:rFonts w:ascii="Times New Roman" w:hAnsi="Times New Roman" w:eastAsia="宋体"/>
          <w:b w:val="0"/>
          <w:sz w:val="24"/>
          <w:vertAlign w:val="subscript"/>
        </w:rPr>
        <w:t>0</w:t>
      </w:r>
      <w:r>
        <w:rPr>
          <w:rFonts w:ascii="Times New Roman" w:hAnsi="Times New Roman" w:eastAsia="宋体"/>
          <w:b w:val="0"/>
          <w:sz w:val="24"/>
        </w:rPr>
        <w:t>的情况下取V为0.6V</w:t>
      </w:r>
      <w:r>
        <w:rPr>
          <w:rFonts w:ascii="Times New Roman" w:hAnsi="Times New Roman" w:eastAsia="宋体"/>
          <w:b w:val="0"/>
          <w:sz w:val="24"/>
          <w:vertAlign w:val="subscript"/>
        </w:rPr>
        <w:t>0</w:t>
      </w:r>
      <w:r>
        <w:rPr>
          <w:rFonts w:ascii="Times New Roman" w:hAnsi="Times New Roman" w:eastAsia="宋体"/>
          <w:b w:val="0"/>
          <w:sz w:val="24"/>
        </w:rPr>
        <w:t>。</w:t>
      </w:r>
    </w:p>
    <w:p>
      <w:pPr>
        <w:spacing w:after="200" w:before="0" w:line="360" w:lineRule="auto"/>
        <w:ind w:firstLine="480"/>
        <w:jc w:val="both"/>
      </w:pPr>
      <w:r>
        <w:rPr>
          <w:rFonts w:ascii="Times New Roman" w:hAnsi="Times New Roman" w:eastAsia="宋体"/>
          <w:b w:val="0"/>
          <w:sz w:val="24"/>
        </w:rPr>
        <w:t>15. 根据权利要求1所述的悬索桥钢混组合梁桥上原位叠合与免配重平衡浇筑施工方法，其特征在于，所述第二阶段分为2~4个批次完成；在浇筑所述第二阶段的最末一个批次之前，复测所述主缆的跨中、1/4跨和3/4跨位置的标高，得到各测点的实测标高，以各测点的所述实测标高与该测点在当前施工阶段的目标标高之差作为该测点的线形偏差；在存在所述线形偏差的绝对值超过10mm的测点的情况下，调整所述最末一个批次的浇筑方量，其中在所述实测标高低于所述目标标高的情况下减小所述最末一个批次的浇筑方量，在所述实测标高高于所述目标标高的情况下增大所述最末一个批次的浇筑方量。</w:t>
      </w:r>
    </w:p>
    <w:p>
      <w:pPr>
        <w:spacing w:after="200" w:before="0" w:line="360" w:lineRule="auto"/>
        <w:ind w:firstLine="480"/>
        <w:jc w:val="both"/>
      </w:pPr>
      <w:r>
        <w:rPr>
          <w:rFonts w:ascii="Times New Roman" w:hAnsi="Times New Roman" w:eastAsia="宋体"/>
          <w:b w:val="0"/>
          <w:sz w:val="24"/>
        </w:rPr>
        <w:t>16. 根据权利要求1所述的悬索桥钢混组合梁桥上原位叠合与免配重平衡浇筑施工方法，其特征在于，在所述第二阶段的最末一个批次中，浇筑靠近两侧所述索塔的无吊索区段的湿接缝以及跨中合龙节段的湿接缝。</w:t>
      </w:r>
    </w:p>
    <w:p>
      <w:pPr>
        <w:spacing w:after="200" w:before="0" w:line="360" w:lineRule="auto"/>
        <w:ind w:firstLine="480"/>
        <w:jc w:val="both"/>
      </w:pPr>
      <w:r>
        <w:rPr>
          <w:rFonts w:ascii="Times New Roman" w:hAnsi="Times New Roman" w:eastAsia="宋体"/>
          <w:b w:val="0"/>
          <w:sz w:val="24"/>
        </w:rPr>
        <w:t>17. 根据权利要求1至16中任一项所述的悬索桥钢混组合梁桥上原位叠合与免配重平衡浇筑施工方法，其特征在于，所述湿接缝的混凝土的28天抗压强度不低于所述预制混凝土桥面板的混凝土强度等级，初凝时间为6h~8h，终凝时间为10h~12h。</w:t>
      </w:r>
    </w:p>
    <w:p>
      <w:pPr>
        <w:spacing w:after="200" w:before="0" w:line="360" w:lineRule="auto"/>
        <w:ind w:firstLine="480"/>
        <w:jc w:val="both"/>
      </w:pPr>
      <w:r>
        <w:rPr>
          <w:rFonts w:ascii="Times New Roman" w:hAnsi="Times New Roman" w:eastAsia="宋体"/>
          <w:b w:val="0"/>
          <w:sz w:val="24"/>
        </w:rPr>
        <w:t>18. 根据权利要求1至16中任一项所述的悬索桥钢混组合梁桥上原位叠合与免配重平衡浇筑施工方法，其特征在于，所述湿接缝的混凝土为超高性能混凝土，所述超高性能混凝土的抗压强度不低于100MPa，且所述超高性能混凝土养护2天后的抗压强度不低于C50混凝土的抗压强度。</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