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内部撰写说明（不随案提交）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案号：PA21-0158P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申请号：202210956187.7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发明名称：一种根据用电峰值调整充放电的方法及装置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申请人：湖南喜宝达信息科技有限公司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通知书：第一次审查意见通知书，发文日2026年6月12日，发文序号2026061200064010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审查员：韩静静，专利审查协作北京中心，电话010-53961247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随案提交的文件只有两份：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`意见陈述书.md`（及同内容 docx）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`权利要求书替换页.md`（及同内容 docx）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本说明只给代理人和申请人看，不要装入电子申请系统。</w:t>
      </w:r>
    </w:p>
    <w:p>
      <w:pPr>
        <w:spacing w:before="240" w:after="120"/>
        <w:ind w:firstLine="0"/>
      </w:pPr>
      <w:r>
        <w:rPr>
          <w:rFonts w:ascii="黑体" w:hAnsi="黑体" w:eastAsia="黑体" w:cs="黑体"/>
          <w:b/>
          <w:color w:val="000000"/>
          <w:sz w:val="28"/>
        </w:rPr>
        <w:t>期限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通知书要求自收到之日起4个月内答复。该案按电子申请处理。电子发文通常自发文日起满15日推定送达，推定收到日为2026年6月27日，四周月届满日为2026年10月27日。今天是2026年10月10日。提交前以专利业务办理系统显示的届满日为准。意见陈述书上的日期留空，提交当天再填写。</w:t>
      </w:r>
    </w:p>
    <w:p>
      <w:pPr>
        <w:spacing w:before="240" w:after="120"/>
        <w:ind w:firstLine="0"/>
      </w:pPr>
      <w:r>
        <w:rPr>
          <w:rFonts w:ascii="黑体" w:hAnsi="黑体" w:eastAsia="黑体" w:cs="黑体"/>
          <w:b/>
          <w:color w:val="000000"/>
          <w:sz w:val="28"/>
        </w:rPr>
        <w:t>审查意见实际只打了创造性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结论性意见只勾选了权利要求1至10不具备专利法第22条第3款的创造性。没有新颖性、不清楚、不支持、修改超范围、单一性意见。检索报告中对比文件1、2为Y类，另有三篇A类文献（CN109149574A、CN114430175A、JP2015177717A）未被写入评述。答复没有主动分析那三篇A类文献，避免把未使用的文献引进争论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通知书最后一段写明：说明书没有其他可授权实质内容，进一步限定也没有授权前景，理由不充分将被驳回。这类写法下，下一份通知有可能直接是驳回决定。所以独立权利要求已经收窄，没有把特征留到下一次审查再补。</w:t>
      </w:r>
    </w:p>
    <w:p>
      <w:pPr>
        <w:spacing w:before="240" w:after="120"/>
        <w:ind w:firstLine="0"/>
      </w:pPr>
      <w:r>
        <w:rPr>
          <w:rFonts w:ascii="黑体" w:hAnsi="黑体" w:eastAsia="黑体" w:cs="黑体"/>
          <w:b/>
          <w:color w:val="000000"/>
          <w:sz w:val="28"/>
        </w:rPr>
        <w:t>修改策略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新权利要求1吸收了原权利要求1、2、8、9，即：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差价率、耗损率的两个公式；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低谷段充电时差价率仍小于耗损率，则警报提醒逆变器故障、电瓶故障。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没有把原权利要求3（低谷充电、高峰停充）、4（两个电量阈值）、5（最佳功率）、6（阶梯电价）、7（用户自定义）写入独立权利要求。这些特征要么已被对比文件1部分覆盖，要么保护范围收得过窄，要么用词本身容易引出新的不清楚问题。它们仍作为从属权利要求保留，并在意见陈述书里分别作了评述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意见陈述书第三节（四）写明：如果审查员仍认为独立权利要求需要进一步限定，申请人可以在后续程序中把阶梯电价特征（新权利要求5）补入权利要求1，并请审查员本次一并考虑。这是给驳回决定预留的记录，不是已经完成的修改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新权利要求7保持原装置权利要求的写法（装置包括方法）。审查员没有异议，本次不改写成纯结构型装置权利要求，减少不必要的文本变动。</w:t>
      </w:r>
    </w:p>
    <w:p>
      <w:pPr>
        <w:spacing w:before="240" w:after="120"/>
        <w:ind w:firstLine="0"/>
      </w:pPr>
      <w:r>
        <w:rPr>
          <w:rFonts w:ascii="黑体" w:hAnsi="黑体" w:eastAsia="黑体" w:cs="黑体"/>
          <w:b/>
          <w:color w:val="000000"/>
          <w:sz w:val="28"/>
        </w:rPr>
        <w:t>答复主线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审查员把区别归纳成“用差价和损耗决定是否充电”，再把技术问题写成“如何量化评估套利经济性”，然后用对比文件2的收益公式去覆盖。答复按审查指南第二部分第四章第3.2.1.1节从三处拆开：</w:t>
      </w:r>
    </w:p>
    <w:p>
      <w:pPr>
        <w:ind w:left="420" w:hanging="283"/>
      </w:pPr>
      <w:r>
        <w:rPr>
          <w:rFonts w:ascii="宋体" w:hAnsi="宋体" w:eastAsia="宋体" w:cs="宋体"/>
          <w:b w:val="0"/>
          <w:color w:val="000000"/>
          <w:sz w:val="24"/>
        </w:rPr>
        <w:t>1. 技术问题与说明书记载的效果不匹配。说明书的效果是控制逆变器启停，以及在低谷段识别逆变器、电瓶故障。不是做多年期收益评估。</w:t>
      </w:r>
    </w:p>
    <w:p>
      <w:pPr>
        <w:ind w:left="420" w:hanging="283"/>
      </w:pPr>
      <w:r>
        <w:rPr>
          <w:rFonts w:ascii="宋体" w:hAnsi="宋体" w:eastAsia="宋体" w:cs="宋体"/>
          <w:b w:val="0"/>
          <w:color w:val="000000"/>
          <w:sz w:val="24"/>
        </w:rPr>
        <w:t>2. 对比文件2里电价和效率的作用是计算万元收益。本发明里同样名称相近的量，作用是发出充电指令和故障警报。作用不同，不能因为都属于“经济性”就组合。</w:t>
      </w:r>
    </w:p>
    <w:p>
      <w:pPr>
        <w:ind w:left="420" w:hanging="283"/>
      </w:pPr>
      <w:r>
        <w:rPr>
          <w:rFonts w:ascii="宋体" w:hAnsi="宋体" w:eastAsia="宋体" w:cs="宋体"/>
          <w:b w:val="0"/>
          <w:color w:val="000000"/>
          <w:sz w:val="24"/>
        </w:rPr>
        <w:t>3. 公式本身不等价。对比文件2正收益整理后是（p放－p充）／p放＞1－η充×η放。权利要求是（高峰段电价－实时电价）／高峰段电价＞逆变器转换效率×电瓶转化率。右侧一个是“1减效率乘积”，一个是“效率乘积”。参量、公式结构和输出都不相同，不能称为常规数学变换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报警特征是这条主线里最不容易被“公知经济原理”盖过去的部分。低谷段价差最大，此时差价率仍然小于耗损率，说明书据此推断耗损率异常升高、逆变器或电瓶故障。对比文件1的报警是电池簇总压差。对比文件2没有报警。审查员说“可能意味着效率偏低所以报警显而易见”，这个“可能意味着”来自本发明说明书第[0044]段，答复里已经指出不能用发明自身的启示倒推显而易见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对比文件1第[0048]段的“全寿命周期度电成本”只是效果性的一句话，没有公式，也没有逆变器效率和电瓶转化率。答复没有否认这句话存在，而是说明它公开的不是权利要求的判据。</w:t>
      </w:r>
    </w:p>
    <w:p>
      <w:pPr>
        <w:spacing w:before="240" w:after="120"/>
        <w:ind w:firstLine="0"/>
      </w:pPr>
      <w:r>
        <w:rPr>
          <w:rFonts w:ascii="黑体" w:hAnsi="黑体" w:eastAsia="黑体" w:cs="黑体"/>
          <w:b/>
          <w:color w:val="000000"/>
          <w:sz w:val="28"/>
        </w:rPr>
        <w:t>提交前必须由发明人确认的问题：公式和说明书是矛盾的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这个问题没有写进意见陈述书。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权利要求2和说明书第[0012]、[0035]段三处一致写成：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耗损率＝逆变器转换效率×电瓶转化率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说明书第[0044]段又写：低谷段差价率仍小于耗损率时，逆变器和电瓶可能故障，导致耗损率变高。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若“转换效率”“转化率”是通常含义的效率（0到1之间，故障时下降），二者相乘会在故障时变小，不会“变高”。按字面公式，设备越正常，耗损率越高，越不容易充电；设备效率下降，耗损率变小，反而更容易满足“差价率大于耗损率”而充电。这与“考虑耗损才充电”以及报警逻辑是反的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经济上常见的套利条件是：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（高峰电价－充电电价）／高峰电价＞1－充电效率×放电效率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也就是耗损率应当更接近“1－逆变器转换效率×电瓶转化率”。只有改成这一形式，才同时满足：效率下降则耗损率升高、差价覆盖损耗才充电、低谷段仍不满足则报警。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本次没有改公式。原权利要求和说明书把乘积公式重复写了三遍，审查员容易认为这是申请人的明确选择，而不是笔误。直接改成“1减乘积”，有较大可能被认定超出原说明书和权利要求书记载的范围。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建议在提交前用电话向发明人确认当时的计算式。确认结果只影响是否另作修改，不影响本次答复文本的使用：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发明人确认原文就是效率相乘：按现文本提交，不要在意见陈述书里主动解释公式是否合理。审查员本次没有提不清楚，也没有提公式错误。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发明人确认漏写了“1－”：不要在本答复里悄悄改权利要求。先评估能否主张明显错误。由于三处记载完全一致，主张明显错误的成功率不高。若仍要改，必须在意见陈述书里单列一条修改说明，写明唯一正确含义来自第[0044]段“故障导致耗损率变高”，并准备好审查员以专利法第33条不予接受。改公式还会削弱“与对比文件2不等价”这一论据，因为改完之后右侧会变成“1减效率乘积”，和对比文件2整理后的形式接近，审查员的“常规数学变换”更难反驳。报警特征和参量差异（逆变器、电瓶，而不是η充、η放）仍可使用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差价率乘了100%，耗损率没有乘100%。若效率用小数、差价率用百分数，两边数值不在同一数量级。原文如此，本次不改，也不向审查员指出。</w:t>
      </w:r>
    </w:p>
    <w:p>
      <w:pPr>
        <w:spacing w:before="240" w:after="120"/>
        <w:ind w:firstLine="0"/>
      </w:pPr>
      <w:r>
        <w:rPr>
          <w:rFonts w:ascii="黑体" w:hAnsi="黑体" w:eastAsia="黑体" w:cs="黑体"/>
          <w:b/>
          <w:color w:val="000000"/>
          <w:sz w:val="28"/>
        </w:rPr>
        <w:t>各权利要求的强弱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权利要求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评价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新权利要求1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本次主要争点。报警特征是授权希望最大的部分。公式不等价是对抗“常规数学变换”的部分。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新权利要求2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较弱。对比文件1已有低谷充电、峰值改由电池或电网供电。只作为与判据的组合来写。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新权利要求3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中等。对比文件1比的是电压和支持电池只数，不是电瓶电量的双阈值双向切换。单独拿出来容易被说成常规电池保护。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新权利要求4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弱。“最佳功率”原文没有定义，补进去可能引出不清楚。本次不主动解释其数值含义。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新权利要求5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较强，适合作为退路。两篇对比文件都没有阶梯电价，也没有“结算日前一天＋周期总电量最高档＋停止给电瓶充电”。若本轮未授权，优先考虑把这一项补进独立权利要求。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新权利要求6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弱。用户自定义时段容易被认定为常规人机功能。保留是因为说明书写了停电前应急预充电这一使用场景。</w:t>
            </w:r>
          </w:p>
        </w:tc>
      </w:tr>
      <w:tr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新权利要求7</w:t>
            </w:r>
          </w:p>
        </w:tc>
        <w:tc>
          <w:tcPr>
            <w:tcW w:type="dxa" w:w="4156"/>
          </w:tcPr>
          <w:p>
            <w:pPr>
              <w:spacing w:line="276" w:lineRule="auto" w:after="40"/>
            </w:pPr>
            <w:r>
              <w:rPr/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依附于方法权利要求。装置结构本身对比文件1已经比较接近。</w:t>
            </w:r>
          </w:p>
        </w:tc>
      </w:tr>
    </w:tbl>
    <w:p/>
    <w:p>
      <w:pPr>
        <w:spacing w:before="240" w:after="120"/>
        <w:ind w:firstLine="0"/>
      </w:pPr>
      <w:r>
        <w:rPr>
          <w:rFonts w:ascii="黑体" w:hAnsi="黑体" w:eastAsia="黑体" w:cs="黑体"/>
          <w:b/>
          <w:color w:val="000000"/>
          <w:sz w:val="28"/>
        </w:rPr>
        <w:t>提交时的操作</w:t>
      </w:r>
    </w:p>
    <w:p>
      <w:pPr>
        <w:ind w:left="420" w:hanging="283"/>
      </w:pPr>
      <w:r>
        <w:rPr>
          <w:rFonts w:ascii="宋体" w:hAnsi="宋体" w:eastAsia="宋体" w:cs="宋体"/>
          <w:b w:val="0"/>
          <w:color w:val="000000"/>
          <w:sz w:val="24"/>
        </w:rPr>
        <w:t>1. 专利业务办理系统选择“意见陈述书”，陈述意见正文使用意见陈述书docx中“尊敬的审查员”至附件清单的内容。首页著录项目以系统表格为准，不必把markdown标题再贴一遍。</w:t>
      </w:r>
    </w:p>
    <w:p>
      <w:pPr>
        <w:ind w:left="420" w:hanging="283"/>
      </w:pPr>
      <w:r>
        <w:rPr>
          <w:rFonts w:ascii="宋体" w:hAnsi="宋体" w:eastAsia="宋体" w:cs="宋体"/>
          <w:b w:val="0"/>
          <w:color w:val="000000"/>
          <w:sz w:val="24"/>
        </w:rPr>
        <w:t>2. 权利要求书以替换页方式提交，权利要求项数由10项改为7项。</w:t>
      </w:r>
    </w:p>
    <w:p>
      <w:pPr>
        <w:ind w:left="420" w:hanging="283"/>
      </w:pPr>
      <w:r>
        <w:rPr>
          <w:rFonts w:ascii="宋体" w:hAnsi="宋体" w:eastAsia="宋体" w:cs="宋体"/>
          <w:b w:val="0"/>
          <w:color w:val="000000"/>
          <w:sz w:val="24"/>
        </w:rPr>
        <w:t>3. 说明书和摘要本次没有修改，不要同时提交说明书替换页。</w:t>
      </w:r>
    </w:p>
    <w:p>
      <w:pPr>
        <w:ind w:left="420" w:hanging="283"/>
      </w:pPr>
      <w:r>
        <w:rPr>
          <w:rFonts w:ascii="宋体" w:hAnsi="宋体" w:eastAsia="宋体" w:cs="宋体"/>
          <w:b w:val="0"/>
          <w:color w:val="000000"/>
          <w:sz w:val="24"/>
        </w:rPr>
        <w:t>4. 签章栏由代理机构按通常方式处理。</w:t>
      </w:r>
    </w:p>
    <w:p>
      <w:pPr>
        <w:ind w:left="420" w:hanging="283"/>
      </w:pPr>
      <w:r>
        <w:rPr>
          <w:rFonts w:ascii="宋体" w:hAnsi="宋体" w:eastAsia="宋体" w:cs="宋体"/>
          <w:b w:val="0"/>
          <w:color w:val="000000"/>
          <w:sz w:val="24"/>
        </w:rPr>
        <w:t>5. 系统里的答复期限届满日与上文计算不一致时，以系统为准。</w:t>
      </w:r>
    </w:p>
    <w:p>
      <w:pPr>
        <w:spacing w:before="240" w:after="120"/>
        <w:ind w:firstLine="0"/>
      </w:pPr>
      <w:r>
        <w:rPr>
          <w:rFonts w:ascii="黑体" w:hAnsi="黑体" w:eastAsia="黑体" w:cs="黑体"/>
          <w:b/>
          <w:color w:val="000000"/>
          <w:sz w:val="28"/>
        </w:rPr>
        <w:t>若被驳回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驳回后复审可以沿用本答复的结构，重点只保留三句：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重新确定的技术问题包含了对区别特征的指引；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对比文件2的作用是收益评估，不是逆变器控制和故障诊断；</w:t>
      </w:r>
    </w:p>
    <w:p>
      <w:pPr>
        <w:ind w:left="420" w:hanging="210"/>
      </w:pPr>
      <w:r>
        <w:rPr>
          <w:rFonts w:ascii="宋体" w:hAnsi="宋体" w:eastAsia="宋体" w:cs="宋体"/>
          <w:b w:val="0"/>
          <w:color w:val="000000"/>
          <w:sz w:val="24"/>
        </w:rPr>
        <w:t>• 低谷段“差价率仍小于耗损率”作为逆变器故障、电瓶故障的报警条件，两篇对比文件都没有公开，审查意见使用了本发明说明书第[0044]段的推断。</w:t>
      </w:r>
    </w:p>
    <w:p>
      <w:pPr>
        <w:ind w:firstLine="420"/>
      </w:pPr>
      <w:r>
        <w:rPr>
          <w:rFonts w:ascii="宋体" w:hAnsi="宋体" w:eastAsia="宋体" w:cs="宋体"/>
          <w:b w:val="0"/>
          <w:color w:val="000000"/>
          <w:sz w:val="24"/>
        </w:rPr>
        <w:t>复审同时考虑把新权利要求5补入独立权利要求。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18"/>
      </w:rPr>
      <w:t>申请号：202210956187.7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 w:cs="宋体"/>
        <w:b w:val="0"/>
        <w:color w:val="000000"/>
        <w:sz w:val="18"/>
      </w:rPr>
      <w:t>内部文件，不随案提交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